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44A62" w:rsidRPr="00C44A62" w:rsidRDefault="00C44A62" w:rsidP="00C44A62">
      <w:pPr>
        <w:widowControl w:val="0"/>
        <w:pBdr>
          <w:top w:val="single" w:sz="4" w:space="1" w:color="2E74B5"/>
          <w:left w:val="single" w:sz="4" w:space="4" w:color="2E74B5"/>
          <w:bottom w:val="single" w:sz="4" w:space="1" w:color="2E74B5"/>
          <w:right w:val="single" w:sz="4" w:space="4" w:color="2E74B5"/>
        </w:pBdr>
        <w:adjustRightInd/>
        <w:jc w:val="center"/>
        <w:rPr>
          <w:rFonts w:ascii="Century Gothic" w:hAnsi="Century Gothic" w:cs="Century Gothic"/>
          <w:b/>
          <w:bCs/>
          <w:i/>
          <w:iCs/>
          <w:smallCaps/>
          <w:spacing w:val="20"/>
          <w:sz w:val="36"/>
          <w:szCs w:val="36"/>
        </w:rPr>
      </w:pPr>
      <w:r w:rsidRPr="00C44A62">
        <w:rPr>
          <w:rFonts w:ascii="Century Gothic" w:hAnsi="Century Gothic" w:cs="Century Gothic"/>
          <w:b/>
          <w:bCs/>
          <w:i/>
          <w:iCs/>
          <w:smallCaps/>
          <w:spacing w:val="20"/>
          <w:sz w:val="36"/>
          <w:szCs w:val="36"/>
        </w:rPr>
        <w:t>Comune di</w:t>
      </w:r>
      <w:r w:rsidRPr="00C44A62">
        <w:rPr>
          <w:rFonts w:ascii="Century Gothic" w:hAnsi="Century Gothic" w:cs="Century Gothic"/>
          <w:b/>
          <w:bCs/>
          <w:i/>
          <w:iCs/>
          <w:smallCaps/>
          <w:color w:val="C0C0C0"/>
          <w:spacing w:val="20"/>
          <w:sz w:val="36"/>
          <w:szCs w:val="36"/>
        </w:rPr>
        <w:t xml:space="preserve"> </w:t>
      </w:r>
      <w:r w:rsidRPr="00C44A62">
        <w:rPr>
          <w:rFonts w:ascii="Century Gothic" w:hAnsi="Century Gothic" w:cs="Century Gothic"/>
          <w:b/>
          <w:bCs/>
          <w:i/>
          <w:iCs/>
          <w:smallCaps/>
          <w:spacing w:val="20"/>
          <w:sz w:val="36"/>
          <w:szCs w:val="36"/>
        </w:rPr>
        <w:t>Romentino</w:t>
      </w:r>
    </w:p>
    <w:p w:rsidR="00C44A62" w:rsidRPr="00C44A62" w:rsidRDefault="00C44A62" w:rsidP="00C44A62">
      <w:pPr>
        <w:widowControl w:val="0"/>
        <w:pBdr>
          <w:top w:val="single" w:sz="4" w:space="1" w:color="2E74B5"/>
          <w:left w:val="single" w:sz="4" w:space="4" w:color="2E74B5"/>
          <w:bottom w:val="single" w:sz="4" w:space="1" w:color="2E74B5"/>
          <w:right w:val="single" w:sz="4" w:space="4" w:color="2E74B5"/>
        </w:pBdr>
        <w:adjustRightInd/>
        <w:jc w:val="center"/>
        <w:rPr>
          <w:rFonts w:ascii="Century Gothic" w:hAnsi="Century Gothic" w:cs="Century Gothic"/>
          <w:b/>
          <w:bCs/>
          <w:i/>
          <w:caps/>
          <w:color w:val="808080"/>
          <w:sz w:val="24"/>
          <w:szCs w:val="24"/>
        </w:rPr>
      </w:pPr>
      <w:r w:rsidRPr="00C44A62">
        <w:rPr>
          <w:rFonts w:ascii="Century Gothic" w:hAnsi="Century Gothic" w:cs="Century Gothic"/>
          <w:b/>
          <w:bCs/>
          <w:i/>
          <w:smallCaps/>
          <w:color w:val="808080"/>
          <w:sz w:val="24"/>
          <w:szCs w:val="24"/>
        </w:rPr>
        <w:t xml:space="preserve">PROVINCIA DI </w:t>
      </w:r>
      <w:r w:rsidRPr="00C44A62">
        <w:rPr>
          <w:rFonts w:ascii="Century Gothic" w:hAnsi="Century Gothic" w:cs="Century Gothic"/>
          <w:b/>
          <w:bCs/>
          <w:i/>
          <w:caps/>
          <w:color w:val="808080"/>
          <w:sz w:val="24"/>
          <w:szCs w:val="24"/>
        </w:rPr>
        <w:t>Novara</w:t>
      </w:r>
    </w:p>
    <w:p w:rsidR="00C44A62" w:rsidRPr="00C44A62" w:rsidRDefault="00C44A62" w:rsidP="00C44A62">
      <w:pPr>
        <w:widowControl w:val="0"/>
        <w:pBdr>
          <w:top w:val="single" w:sz="4" w:space="1" w:color="2E74B5"/>
          <w:left w:val="single" w:sz="4" w:space="4" w:color="2E74B5"/>
          <w:bottom w:val="single" w:sz="4" w:space="1" w:color="2E74B5"/>
          <w:right w:val="single" w:sz="4" w:space="4" w:color="2E74B5"/>
        </w:pBdr>
        <w:adjustRightInd/>
        <w:jc w:val="center"/>
        <w:rPr>
          <w:rFonts w:ascii="Century Gothic" w:hAnsi="Century Gothic" w:cs="Century Gothic"/>
          <w:b/>
          <w:bCs/>
          <w:caps/>
          <w:color w:val="808080"/>
          <w:sz w:val="24"/>
          <w:szCs w:val="24"/>
        </w:rPr>
      </w:pPr>
      <w:r w:rsidRPr="00C44A62">
        <w:rPr>
          <w:rFonts w:ascii="Century Gothic" w:hAnsi="Century Gothic" w:cs="Century Gothic"/>
          <w:b/>
          <w:bCs/>
          <w:caps/>
          <w:color w:val="808080"/>
          <w:sz w:val="24"/>
          <w:szCs w:val="24"/>
        </w:rPr>
        <w:t>Regione Piemonte</w:t>
      </w:r>
    </w:p>
    <w:p w:rsidR="00C44A62" w:rsidRPr="00C44A62" w:rsidRDefault="00C44A62" w:rsidP="00C44A62">
      <w:pPr>
        <w:widowControl w:val="0"/>
        <w:pBdr>
          <w:top w:val="single" w:sz="4" w:space="1" w:color="2E74B5"/>
          <w:left w:val="single" w:sz="4" w:space="4" w:color="2E74B5"/>
          <w:bottom w:val="single" w:sz="4" w:space="1" w:color="2E74B5"/>
          <w:right w:val="single" w:sz="4" w:space="4" w:color="2E74B5"/>
        </w:pBdr>
        <w:adjustRightInd/>
        <w:jc w:val="center"/>
        <w:rPr>
          <w:rFonts w:ascii="Century Gothic" w:hAnsi="Century Gothic" w:cs="Century Gothic"/>
          <w:b/>
          <w:bCs/>
          <w:caps/>
          <w:color w:val="808080"/>
          <w:sz w:val="24"/>
          <w:szCs w:val="24"/>
        </w:rPr>
      </w:pPr>
    </w:p>
    <w:p w:rsidR="00C44A62" w:rsidRPr="00C44A62" w:rsidRDefault="00145F06" w:rsidP="00C44A62">
      <w:pPr>
        <w:widowControl w:val="0"/>
        <w:pBdr>
          <w:top w:val="single" w:sz="4" w:space="1" w:color="2E74B5"/>
          <w:left w:val="single" w:sz="4" w:space="4" w:color="2E74B5"/>
          <w:bottom w:val="single" w:sz="4" w:space="1" w:color="2E74B5"/>
          <w:right w:val="single" w:sz="4" w:space="4" w:color="2E74B5"/>
        </w:pBdr>
        <w:adjustRightInd/>
        <w:jc w:val="center"/>
        <w:rPr>
          <w:rFonts w:ascii="Arial Narrow" w:hAnsi="Arial Narrow" w:cs="Arial Narrow"/>
          <w:b/>
          <w:bCs/>
          <w:smallCaps/>
          <w:color w:val="808080"/>
          <w:spacing w:val="20"/>
          <w:sz w:val="32"/>
          <w:szCs w:val="32"/>
        </w:rPr>
      </w:pPr>
      <w:r w:rsidRPr="00C44A62">
        <w:rPr>
          <w:rFonts w:ascii="Century Gothic" w:hAnsi="Century Gothic" w:cs="Century Gothic"/>
          <w:b/>
          <w:noProof/>
          <w:color w:val="385623"/>
          <w:sz w:val="22"/>
          <w:szCs w:val="22"/>
        </w:rPr>
        <w:drawing>
          <wp:inline distT="0" distB="0" distL="0" distR="0">
            <wp:extent cx="1184910" cy="848360"/>
            <wp:effectExtent l="0" t="0" r="0" b="8890"/>
            <wp:docPr id="1"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184910" cy="848360"/>
                    </a:xfrm>
                    <a:prstGeom prst="rect">
                      <a:avLst/>
                    </a:prstGeom>
                    <a:noFill/>
                    <a:ln>
                      <a:noFill/>
                    </a:ln>
                  </pic:spPr>
                </pic:pic>
              </a:graphicData>
            </a:graphic>
          </wp:inline>
        </w:drawing>
      </w:r>
    </w:p>
    <w:p w:rsidR="00C44A62" w:rsidRPr="00C44A62" w:rsidRDefault="00C44A62" w:rsidP="00C44A62">
      <w:pPr>
        <w:widowControl w:val="0"/>
        <w:pBdr>
          <w:top w:val="single" w:sz="4" w:space="1" w:color="2E74B5"/>
          <w:left w:val="single" w:sz="4" w:space="4" w:color="2E74B5"/>
          <w:bottom w:val="single" w:sz="4" w:space="1" w:color="2E74B5"/>
          <w:right w:val="single" w:sz="4" w:space="4" w:color="2E74B5"/>
        </w:pBdr>
        <w:adjustRightInd/>
        <w:spacing w:line="360" w:lineRule="auto"/>
        <w:jc w:val="center"/>
        <w:rPr>
          <w:rFonts w:ascii="Arial Narrow" w:hAnsi="Arial Narrow" w:cs="Arial Narrow"/>
          <w:b/>
          <w:bCs/>
          <w:smallCaps/>
          <w:color w:val="999999"/>
          <w:sz w:val="32"/>
          <w:szCs w:val="32"/>
        </w:rPr>
      </w:pPr>
    </w:p>
    <w:p w:rsidR="00C44A62" w:rsidRPr="00C44A62" w:rsidRDefault="00C44A62" w:rsidP="00C44A62">
      <w:pPr>
        <w:widowControl w:val="0"/>
        <w:pBdr>
          <w:top w:val="single" w:sz="4" w:space="1" w:color="2E74B5"/>
          <w:left w:val="single" w:sz="4" w:space="4" w:color="2E74B5"/>
          <w:bottom w:val="single" w:sz="4" w:space="1" w:color="2E74B5"/>
          <w:right w:val="single" w:sz="4" w:space="4" w:color="2E74B5"/>
        </w:pBdr>
        <w:adjustRightInd/>
        <w:jc w:val="center"/>
        <w:rPr>
          <w:rFonts w:ascii="Century Gothic" w:hAnsi="Century Gothic" w:cs="Century Gothic"/>
          <w:b/>
          <w:bCs/>
          <w:smallCaps/>
          <w:sz w:val="32"/>
          <w:szCs w:val="32"/>
        </w:rPr>
      </w:pPr>
      <w:r w:rsidRPr="00C44A62">
        <w:rPr>
          <w:rFonts w:ascii="Century Gothic" w:hAnsi="Century Gothic" w:cs="Century Gothic"/>
          <w:b/>
          <w:bCs/>
          <w:smallCaps/>
          <w:sz w:val="32"/>
          <w:szCs w:val="32"/>
        </w:rPr>
        <w:t>Area sportiva Comunale in Via Tintoretto</w:t>
      </w:r>
    </w:p>
    <w:p w:rsidR="00C44A62" w:rsidRPr="00C44A62" w:rsidRDefault="00C44A62" w:rsidP="00C44A62">
      <w:pPr>
        <w:widowControl w:val="0"/>
        <w:pBdr>
          <w:top w:val="single" w:sz="4" w:space="1" w:color="2E74B5"/>
          <w:left w:val="single" w:sz="4" w:space="4" w:color="2E74B5"/>
          <w:bottom w:val="single" w:sz="4" w:space="1" w:color="2E74B5"/>
          <w:right w:val="single" w:sz="4" w:space="4" w:color="2E74B5"/>
        </w:pBdr>
        <w:adjustRightInd/>
        <w:jc w:val="center"/>
        <w:rPr>
          <w:rFonts w:ascii="Century Gothic" w:hAnsi="Century Gothic" w:cs="Century Gothic"/>
          <w:b/>
          <w:bCs/>
          <w:smallCaps/>
          <w:sz w:val="32"/>
          <w:szCs w:val="32"/>
        </w:rPr>
      </w:pPr>
      <w:r w:rsidRPr="00C44A62">
        <w:rPr>
          <w:rFonts w:ascii="Century Gothic" w:hAnsi="Century Gothic" w:cs="Century Gothic"/>
          <w:b/>
          <w:bCs/>
          <w:smallCaps/>
          <w:sz w:val="32"/>
          <w:szCs w:val="32"/>
        </w:rPr>
        <w:t>Riqualificazione e Nuovi impianti</w:t>
      </w:r>
    </w:p>
    <w:p w:rsidR="00C44A62" w:rsidRPr="00C44A62" w:rsidRDefault="00C44A62" w:rsidP="00C44A62">
      <w:pPr>
        <w:widowControl w:val="0"/>
        <w:pBdr>
          <w:top w:val="single" w:sz="4" w:space="1" w:color="2E74B5"/>
          <w:left w:val="single" w:sz="4" w:space="4" w:color="2E74B5"/>
          <w:bottom w:val="single" w:sz="4" w:space="1" w:color="2E74B5"/>
          <w:right w:val="single" w:sz="4" w:space="4" w:color="2E74B5"/>
        </w:pBdr>
        <w:adjustRightInd/>
        <w:jc w:val="center"/>
        <w:rPr>
          <w:rFonts w:ascii="Century Gothic" w:hAnsi="Century Gothic" w:cs="Century Gothic"/>
          <w:b/>
          <w:bCs/>
          <w:smallCaps/>
          <w:sz w:val="32"/>
          <w:szCs w:val="32"/>
        </w:rPr>
      </w:pPr>
    </w:p>
    <w:p w:rsidR="00C44A62" w:rsidRPr="00C44A62" w:rsidRDefault="00C44A62" w:rsidP="00C44A62">
      <w:pPr>
        <w:widowControl w:val="0"/>
        <w:pBdr>
          <w:top w:val="single" w:sz="4" w:space="1" w:color="2E74B5"/>
          <w:left w:val="single" w:sz="4" w:space="4" w:color="2E74B5"/>
          <w:bottom w:val="single" w:sz="4" w:space="1" w:color="2E74B5"/>
          <w:right w:val="single" w:sz="4" w:space="4" w:color="2E74B5"/>
        </w:pBdr>
        <w:adjustRightInd/>
        <w:jc w:val="center"/>
        <w:rPr>
          <w:rFonts w:ascii="Century Gothic" w:hAnsi="Century Gothic" w:cs="Century Gothic"/>
          <w:b/>
          <w:bCs/>
          <w:i/>
          <w:smallCaps/>
          <w:sz w:val="24"/>
          <w:szCs w:val="24"/>
        </w:rPr>
      </w:pPr>
      <w:r w:rsidRPr="00C44A62">
        <w:rPr>
          <w:rFonts w:ascii="Century Gothic" w:hAnsi="Century Gothic" w:cs="Century Gothic"/>
          <w:b/>
          <w:bCs/>
          <w:i/>
          <w:smallCaps/>
          <w:sz w:val="24"/>
          <w:szCs w:val="24"/>
        </w:rPr>
        <w:t>Lotto 1</w:t>
      </w:r>
      <w:r w:rsidRPr="00C44A62">
        <w:rPr>
          <w:rFonts w:ascii="Century Gothic" w:hAnsi="Century Gothic" w:cs="Century Gothic"/>
          <w:b/>
          <w:bCs/>
          <w:i/>
          <w:sz w:val="24"/>
          <w:szCs w:val="24"/>
        </w:rPr>
        <w:t>-</w:t>
      </w:r>
      <w:r w:rsidRPr="00C44A62">
        <w:rPr>
          <w:rFonts w:ascii="Century Gothic" w:hAnsi="Century Gothic" w:cs="Century Gothic"/>
          <w:b/>
          <w:bCs/>
          <w:i/>
          <w:smallCaps/>
          <w:sz w:val="24"/>
          <w:szCs w:val="24"/>
        </w:rPr>
        <w:t xml:space="preserve"> Nuovi impianti</w:t>
      </w:r>
    </w:p>
    <w:p w:rsidR="00C44A62" w:rsidRPr="00C44A62" w:rsidRDefault="00C44A62" w:rsidP="00C44A62">
      <w:pPr>
        <w:widowControl w:val="0"/>
        <w:pBdr>
          <w:top w:val="single" w:sz="4" w:space="1" w:color="2E74B5"/>
          <w:left w:val="single" w:sz="4" w:space="4" w:color="2E74B5"/>
          <w:bottom w:val="single" w:sz="4" w:space="1" w:color="2E74B5"/>
          <w:right w:val="single" w:sz="4" w:space="4" w:color="2E74B5"/>
        </w:pBdr>
        <w:adjustRightInd/>
        <w:jc w:val="center"/>
        <w:rPr>
          <w:rFonts w:ascii="Century Gothic" w:hAnsi="Century Gothic" w:cs="Century Gothic"/>
          <w:b/>
          <w:bCs/>
          <w:smallCaps/>
          <w:sz w:val="24"/>
          <w:szCs w:val="24"/>
        </w:rPr>
      </w:pPr>
      <w:r w:rsidRPr="00C44A62">
        <w:rPr>
          <w:rFonts w:ascii="Century Gothic" w:hAnsi="Century Gothic" w:cs="Century Gothic"/>
          <w:b/>
          <w:bCs/>
          <w:smallCaps/>
          <w:sz w:val="24"/>
          <w:szCs w:val="24"/>
        </w:rPr>
        <w:t>Comparto 1 B</w:t>
      </w:r>
    </w:p>
    <w:p w:rsidR="00C44A62" w:rsidRPr="00C44A62" w:rsidRDefault="00C44A62" w:rsidP="00C44A62">
      <w:pPr>
        <w:widowControl w:val="0"/>
        <w:pBdr>
          <w:top w:val="single" w:sz="4" w:space="1" w:color="2E74B5"/>
          <w:left w:val="single" w:sz="4" w:space="4" w:color="2E74B5"/>
          <w:bottom w:val="single" w:sz="4" w:space="1" w:color="2E74B5"/>
          <w:right w:val="single" w:sz="4" w:space="4" w:color="2E74B5"/>
        </w:pBdr>
        <w:adjustRightInd/>
        <w:jc w:val="center"/>
        <w:rPr>
          <w:rFonts w:ascii="Century Gothic" w:hAnsi="Century Gothic" w:cs="Century Gothic"/>
          <w:b/>
          <w:bCs/>
          <w:smallCaps/>
          <w:sz w:val="28"/>
          <w:szCs w:val="28"/>
        </w:rPr>
      </w:pPr>
      <w:r w:rsidRPr="00C44A62">
        <w:rPr>
          <w:rFonts w:ascii="Century Gothic" w:hAnsi="Century Gothic" w:cs="Century Gothic"/>
          <w:b/>
          <w:bCs/>
          <w:smallCaps/>
          <w:sz w:val="28"/>
          <w:szCs w:val="28"/>
        </w:rPr>
        <w:t>Spazi per attività di servizio e aggiuntivi</w:t>
      </w:r>
    </w:p>
    <w:p w:rsidR="00C44A62" w:rsidRPr="00704274" w:rsidRDefault="00C44A62" w:rsidP="00C44A62">
      <w:pPr>
        <w:pBdr>
          <w:top w:val="single" w:sz="4" w:space="1" w:color="2E74B5"/>
          <w:left w:val="single" w:sz="4" w:space="4" w:color="2E74B5"/>
          <w:bottom w:val="single" w:sz="4" w:space="1" w:color="2E74B5"/>
          <w:right w:val="single" w:sz="4" w:space="4" w:color="2E74B5"/>
        </w:pBdr>
        <w:tabs>
          <w:tab w:val="left" w:pos="2"/>
        </w:tabs>
        <w:jc w:val="center"/>
        <w:rPr>
          <w:rFonts w:ascii="Arial Narrow" w:hAnsi="Arial Narrow" w:cs="Arial Narrow"/>
          <w:i/>
          <w:iCs/>
          <w:color w:val="1F4E79"/>
          <w:sz w:val="22"/>
          <w:szCs w:val="22"/>
        </w:rPr>
      </w:pPr>
      <w:r w:rsidRPr="00704274">
        <w:rPr>
          <w:rFonts w:ascii="Arial Narrow" w:hAnsi="Arial Narrow" w:cs="Arial Narrow"/>
          <w:i/>
          <w:iCs/>
          <w:color w:val="1F4E79"/>
          <w:sz w:val="22"/>
          <w:szCs w:val="22"/>
        </w:rPr>
        <w:t xml:space="preserve"> </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rPr>
          <w:rFonts w:ascii="Arial Narrow" w:hAnsi="Arial Narrow" w:cs="Arial Narrow"/>
          <w:b/>
          <w:bCs/>
          <w:smallCaps/>
          <w:sz w:val="22"/>
          <w:szCs w:val="22"/>
        </w:rPr>
      </w:pP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i/>
          <w:iCs/>
          <w:smallCaps/>
          <w:sz w:val="22"/>
          <w:szCs w:val="22"/>
        </w:rPr>
      </w:pPr>
      <w:r w:rsidRPr="00C44A62">
        <w:rPr>
          <w:rFonts w:ascii="Arial Narrow" w:hAnsi="Arial Narrow" w:cs="Arial Narrow"/>
          <w:i/>
          <w:iCs/>
          <w:smallCaps/>
          <w:sz w:val="24"/>
          <w:szCs w:val="24"/>
        </w:rPr>
        <w:t xml:space="preserve">Progettista incaricato </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b/>
          <w:bCs/>
          <w:smallCaps/>
          <w:sz w:val="22"/>
          <w:szCs w:val="22"/>
        </w:rPr>
      </w:pPr>
      <w:r w:rsidRPr="00C44A62">
        <w:rPr>
          <w:rFonts w:ascii="Arial Narrow" w:hAnsi="Arial Narrow" w:cs="Arial Narrow"/>
          <w:b/>
          <w:bCs/>
          <w:smallCaps/>
          <w:sz w:val="22"/>
          <w:szCs w:val="22"/>
        </w:rPr>
        <w:t xml:space="preserve"> </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b/>
          <w:bCs/>
          <w:smallCaps/>
          <w:sz w:val="24"/>
          <w:szCs w:val="24"/>
        </w:rPr>
      </w:pPr>
      <w:r w:rsidRPr="00C44A62">
        <w:rPr>
          <w:rFonts w:ascii="Arial Narrow" w:hAnsi="Arial Narrow" w:cs="Arial Narrow"/>
          <w:b/>
          <w:bCs/>
          <w:smallCaps/>
          <w:sz w:val="24"/>
          <w:szCs w:val="24"/>
        </w:rPr>
        <w:t xml:space="preserve">Arch. Fernando </w:t>
      </w:r>
      <w:proofErr w:type="spellStart"/>
      <w:r w:rsidRPr="00C44A62">
        <w:rPr>
          <w:rFonts w:ascii="Arial Narrow" w:hAnsi="Arial Narrow" w:cs="Arial Narrow"/>
          <w:b/>
          <w:bCs/>
          <w:smallCaps/>
          <w:sz w:val="24"/>
          <w:szCs w:val="24"/>
        </w:rPr>
        <w:t>Grignaschi</w:t>
      </w:r>
      <w:proofErr w:type="spellEnd"/>
      <w:r w:rsidRPr="00C44A62">
        <w:rPr>
          <w:rFonts w:ascii="Arial Narrow" w:hAnsi="Arial Narrow" w:cs="Arial Narrow"/>
          <w:b/>
          <w:bCs/>
          <w:smallCaps/>
          <w:sz w:val="24"/>
          <w:szCs w:val="24"/>
        </w:rPr>
        <w:t xml:space="preserve"> - Novara</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b/>
          <w:bCs/>
          <w:smallCaps/>
          <w:sz w:val="22"/>
          <w:szCs w:val="22"/>
        </w:rPr>
      </w:pPr>
      <w:r w:rsidRPr="00C44A62">
        <w:rPr>
          <w:rFonts w:ascii="Arial Narrow" w:hAnsi="Arial Narrow" w:cs="Arial Narrow"/>
          <w:b/>
          <w:bCs/>
          <w:smallCaps/>
          <w:sz w:val="22"/>
          <w:szCs w:val="22"/>
        </w:rPr>
        <w:t xml:space="preserve"> </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i/>
          <w:iCs/>
          <w:smallCaps/>
          <w:sz w:val="18"/>
          <w:szCs w:val="18"/>
        </w:rPr>
      </w:pPr>
      <w:r w:rsidRPr="00C44A62">
        <w:rPr>
          <w:rFonts w:ascii="Arial Narrow" w:hAnsi="Arial Narrow" w:cs="Arial Narrow"/>
          <w:i/>
          <w:iCs/>
          <w:smallCaps/>
          <w:sz w:val="18"/>
          <w:szCs w:val="18"/>
        </w:rPr>
        <w:t>Collaborazioni e prestazioni specialistiche</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bCs/>
          <w:smallCaps/>
          <w:sz w:val="22"/>
          <w:szCs w:val="22"/>
        </w:rPr>
      </w:pPr>
      <w:r w:rsidRPr="00C44A62">
        <w:rPr>
          <w:rFonts w:ascii="Arial Narrow" w:hAnsi="Arial Narrow" w:cs="Arial Narrow"/>
          <w:bCs/>
          <w:smallCaps/>
          <w:sz w:val="24"/>
          <w:szCs w:val="24"/>
        </w:rPr>
        <w:t xml:space="preserve">  </w:t>
      </w:r>
      <w:r w:rsidRPr="00C44A62">
        <w:rPr>
          <w:rFonts w:ascii="Arial Narrow" w:hAnsi="Arial Narrow" w:cs="Arial Narrow"/>
          <w:bCs/>
          <w:smallCaps/>
          <w:sz w:val="22"/>
          <w:szCs w:val="22"/>
        </w:rPr>
        <w:t xml:space="preserve">Arch. Antonella Ferrari – Novara </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bCs/>
          <w:smallCaps/>
          <w:sz w:val="22"/>
          <w:szCs w:val="22"/>
        </w:rPr>
      </w:pPr>
      <w:r w:rsidRPr="00C44A62">
        <w:rPr>
          <w:rFonts w:ascii="Arial Narrow" w:hAnsi="Arial Narrow" w:cs="Arial Narrow"/>
          <w:bCs/>
          <w:smallCaps/>
          <w:sz w:val="22"/>
          <w:szCs w:val="22"/>
        </w:rPr>
        <w:t>Arch. Lucia Ferraris – Novara</w:t>
      </w:r>
      <w:r w:rsidRPr="00C44A62">
        <w:rPr>
          <w:rFonts w:ascii="Arial Narrow" w:hAnsi="Arial Narrow" w:cs="Arial Narrow"/>
          <w:bCs/>
          <w:smallCaps/>
          <w:sz w:val="22"/>
          <w:szCs w:val="22"/>
        </w:rPr>
        <w:br/>
        <w:t>Ing. Michele Bruno - Novara</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bCs/>
          <w:smallCaps/>
          <w:sz w:val="22"/>
          <w:szCs w:val="22"/>
        </w:rPr>
      </w:pPr>
      <w:r w:rsidRPr="00C44A62">
        <w:rPr>
          <w:rFonts w:ascii="Arial Narrow" w:hAnsi="Arial Narrow" w:cs="Arial Narrow"/>
          <w:bCs/>
          <w:smallCaps/>
          <w:sz w:val="22"/>
          <w:szCs w:val="22"/>
        </w:rPr>
        <w:t>P.I. Paolo Passarella - Novara</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i/>
          <w:iCs/>
          <w:smallCaps/>
          <w:sz w:val="18"/>
          <w:szCs w:val="18"/>
        </w:rPr>
      </w:pPr>
      <w:r w:rsidRPr="00C44A62">
        <w:rPr>
          <w:rFonts w:ascii="Arial Narrow" w:hAnsi="Arial Narrow" w:cs="Arial Narrow"/>
          <w:i/>
          <w:iCs/>
          <w:smallCaps/>
          <w:sz w:val="18"/>
          <w:szCs w:val="18"/>
        </w:rPr>
        <w:t xml:space="preserve"> </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i/>
          <w:iCs/>
          <w:smallCaps/>
          <w:sz w:val="18"/>
          <w:szCs w:val="18"/>
        </w:rPr>
      </w:pP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i/>
          <w:iCs/>
          <w:smallCaps/>
          <w:sz w:val="18"/>
          <w:szCs w:val="18"/>
        </w:rPr>
      </w:pPr>
      <w:r w:rsidRPr="00C44A62">
        <w:rPr>
          <w:rFonts w:ascii="Arial Narrow" w:hAnsi="Arial Narrow" w:cs="Arial Narrow"/>
          <w:i/>
          <w:iCs/>
          <w:smallCaps/>
          <w:sz w:val="18"/>
          <w:szCs w:val="18"/>
        </w:rPr>
        <w:t>Relazioni e indagini geologiche</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bCs/>
          <w:smallCaps/>
          <w:sz w:val="22"/>
          <w:szCs w:val="22"/>
        </w:rPr>
      </w:pPr>
      <w:proofErr w:type="spellStart"/>
      <w:r w:rsidRPr="00C44A62">
        <w:rPr>
          <w:rFonts w:ascii="Arial Narrow" w:hAnsi="Arial Narrow" w:cs="Arial Narrow"/>
          <w:bCs/>
          <w:smallCaps/>
          <w:sz w:val="22"/>
          <w:szCs w:val="22"/>
        </w:rPr>
        <w:t>Soc</w:t>
      </w:r>
      <w:proofErr w:type="spellEnd"/>
      <w:r w:rsidRPr="00C44A62">
        <w:rPr>
          <w:rFonts w:ascii="Arial Narrow" w:hAnsi="Arial Narrow" w:cs="Arial Narrow"/>
          <w:bCs/>
          <w:smallCaps/>
          <w:sz w:val="22"/>
          <w:szCs w:val="22"/>
        </w:rPr>
        <w:t xml:space="preserve">. </w:t>
      </w:r>
      <w:proofErr w:type="spellStart"/>
      <w:r w:rsidRPr="00C44A62">
        <w:rPr>
          <w:rFonts w:ascii="Arial Narrow" w:hAnsi="Arial Narrow" w:cs="Arial Narrow"/>
          <w:bCs/>
          <w:smallCaps/>
          <w:sz w:val="22"/>
          <w:szCs w:val="22"/>
        </w:rPr>
        <w:t>Tellus</w:t>
      </w:r>
      <w:proofErr w:type="spellEnd"/>
      <w:r w:rsidRPr="00C44A62">
        <w:rPr>
          <w:rFonts w:ascii="Arial Narrow" w:hAnsi="Arial Narrow" w:cs="Arial Narrow"/>
          <w:bCs/>
          <w:smallCaps/>
          <w:sz w:val="22"/>
          <w:szCs w:val="22"/>
        </w:rPr>
        <w:t xml:space="preserve"> s.r.l. –  Novara</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i/>
          <w:iCs/>
          <w:smallCaps/>
          <w:sz w:val="18"/>
          <w:szCs w:val="18"/>
        </w:rPr>
      </w:pP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i/>
          <w:iCs/>
          <w:smallCaps/>
          <w:sz w:val="18"/>
          <w:szCs w:val="18"/>
        </w:rPr>
      </w:pPr>
      <w:r w:rsidRPr="00C44A62">
        <w:rPr>
          <w:rFonts w:ascii="Arial Narrow" w:hAnsi="Arial Narrow" w:cs="Arial Narrow"/>
          <w:i/>
          <w:iCs/>
          <w:smallCaps/>
          <w:sz w:val="18"/>
          <w:szCs w:val="18"/>
        </w:rPr>
        <w:t xml:space="preserve">Adempimenti ex </w:t>
      </w:r>
      <w:proofErr w:type="spellStart"/>
      <w:r w:rsidRPr="00C44A62">
        <w:rPr>
          <w:rFonts w:ascii="Arial Narrow" w:hAnsi="Arial Narrow" w:cs="Arial Narrow"/>
          <w:i/>
          <w:iCs/>
          <w:smallCaps/>
          <w:sz w:val="18"/>
          <w:szCs w:val="18"/>
        </w:rPr>
        <w:t>Dlgs</w:t>
      </w:r>
      <w:proofErr w:type="spellEnd"/>
      <w:r w:rsidRPr="00C44A62">
        <w:rPr>
          <w:rFonts w:ascii="Arial Narrow" w:hAnsi="Arial Narrow" w:cs="Arial Narrow"/>
          <w:i/>
          <w:iCs/>
          <w:smallCaps/>
          <w:sz w:val="18"/>
          <w:szCs w:val="18"/>
        </w:rPr>
        <w:t xml:space="preserve"> 81/08 </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i/>
          <w:iCs/>
          <w:smallCaps/>
          <w:sz w:val="22"/>
          <w:szCs w:val="22"/>
        </w:rPr>
      </w:pPr>
      <w:r w:rsidRPr="00C44A62">
        <w:rPr>
          <w:rFonts w:ascii="Arial Narrow" w:hAnsi="Arial Narrow" w:cs="Arial Narrow"/>
          <w:bCs/>
          <w:smallCaps/>
          <w:sz w:val="22"/>
          <w:szCs w:val="22"/>
        </w:rPr>
        <w:t xml:space="preserve">Ing. Nicola Belletti  - Novara  </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i/>
          <w:iCs/>
          <w:smallCaps/>
          <w:sz w:val="18"/>
          <w:szCs w:val="18"/>
        </w:rPr>
      </w:pP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i/>
          <w:iCs/>
          <w:smallCaps/>
          <w:sz w:val="18"/>
          <w:szCs w:val="18"/>
        </w:rPr>
      </w:pP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i/>
          <w:iCs/>
          <w:smallCaps/>
          <w:sz w:val="18"/>
          <w:szCs w:val="18"/>
        </w:rPr>
      </w:pP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b/>
          <w:bCs/>
          <w:smallCaps/>
          <w:sz w:val="22"/>
          <w:szCs w:val="22"/>
        </w:rPr>
      </w:pP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b/>
          <w:bCs/>
          <w:i/>
          <w:smallCaps/>
          <w:color w:val="808080"/>
          <w:sz w:val="22"/>
          <w:szCs w:val="22"/>
        </w:rPr>
      </w:pPr>
      <w:r w:rsidRPr="00C44A62">
        <w:rPr>
          <w:rFonts w:ascii="Arial Narrow" w:hAnsi="Arial Narrow" w:cs="Arial Narrow"/>
          <w:b/>
          <w:bCs/>
          <w:i/>
          <w:smallCaps/>
          <w:color w:val="808080"/>
          <w:sz w:val="22"/>
          <w:szCs w:val="22"/>
        </w:rPr>
        <w:t>Progetto esecutivo</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rPr>
          <w:rFonts w:ascii="Arial Narrow" w:hAnsi="Arial Narrow" w:cs="Arial Narrow"/>
          <w:b/>
          <w:bCs/>
          <w:smallCaps/>
          <w:sz w:val="28"/>
          <w:szCs w:val="28"/>
        </w:rPr>
      </w:pPr>
      <w:r w:rsidRPr="00C44A62">
        <w:rPr>
          <w:rFonts w:ascii="Arial Narrow" w:hAnsi="Arial Narrow" w:cs="Arial Narrow"/>
          <w:b/>
          <w:bCs/>
          <w:smallCaps/>
          <w:sz w:val="28"/>
          <w:szCs w:val="28"/>
        </w:rPr>
        <w:t>Capitolato Speciale d’Appalto</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spacing w:before="60" w:after="60"/>
        <w:jc w:val="center"/>
        <w:outlineLvl w:val="5"/>
        <w:rPr>
          <w:rFonts w:ascii="Century Gothic" w:hAnsi="Century Gothic" w:cs="Century Gothic"/>
          <w:b/>
          <w:bCs/>
          <w:color w:val="2E74B5"/>
          <w:sz w:val="40"/>
          <w:szCs w:val="40"/>
        </w:rPr>
      </w:pPr>
      <w:r w:rsidRPr="00C44A62">
        <w:rPr>
          <w:rFonts w:ascii="Century Gothic" w:hAnsi="Century Gothic" w:cs="Century Gothic"/>
          <w:b/>
          <w:bCs/>
          <w:color w:val="2E74B5"/>
          <w:sz w:val="40"/>
          <w:szCs w:val="40"/>
        </w:rPr>
        <w:t>SCon_1B</w:t>
      </w:r>
    </w:p>
    <w:p w:rsidR="00C44A62" w:rsidRPr="00C44A62" w:rsidRDefault="00C44A62" w:rsidP="00C44A62">
      <w:pPr>
        <w:pBdr>
          <w:top w:val="single" w:sz="4" w:space="1" w:color="2E74B5"/>
          <w:left w:val="single" w:sz="4" w:space="4" w:color="2E74B5"/>
          <w:bottom w:val="single" w:sz="4" w:space="1" w:color="2E74B5"/>
          <w:right w:val="single" w:sz="4" w:space="4" w:color="2E74B5"/>
        </w:pBdr>
        <w:autoSpaceDE/>
        <w:autoSpaceDN/>
        <w:adjustRightInd/>
        <w:jc w:val="center"/>
        <w:outlineLvl w:val="5"/>
        <w:rPr>
          <w:rFonts w:ascii="Arial Narrow" w:hAnsi="Arial Narrow" w:cs="Century Gothic"/>
          <w:b/>
          <w:bCs/>
          <w:color w:val="808080"/>
          <w:sz w:val="22"/>
          <w:szCs w:val="22"/>
        </w:rPr>
      </w:pPr>
      <w:r w:rsidRPr="00C44A62">
        <w:rPr>
          <w:rFonts w:ascii="Arial Narrow" w:hAnsi="Arial Narrow" w:cs="Century Gothic"/>
          <w:b/>
          <w:bCs/>
          <w:color w:val="808080"/>
          <w:sz w:val="22"/>
          <w:szCs w:val="22"/>
        </w:rPr>
        <w:t>Settembre 2022</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lang w:val="x-none" w:eastAsia="x-none"/>
        </w:rPr>
      </w:pPr>
    </w:p>
    <w:p w:rsidR="00C44A62" w:rsidRDefault="00C44A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lang w:val="x-none" w:eastAsia="x-none"/>
        </w:rPr>
      </w:pPr>
    </w:p>
    <w:p w:rsidR="00C44A62" w:rsidRDefault="00C44A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lang w:val="x-none" w:eastAsia="x-none"/>
        </w:rPr>
      </w:pPr>
    </w:p>
    <w:p w:rsidR="00C44A62" w:rsidRDefault="00C44A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lang w:val="x-none" w:eastAsia="x-none"/>
        </w:rPr>
      </w:pPr>
    </w:p>
    <w:p w:rsidR="00C44A62" w:rsidRDefault="00C44A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lang w:val="x-none" w:eastAsia="x-none"/>
        </w:rPr>
      </w:pPr>
    </w:p>
    <w:p w:rsidR="00C44A62" w:rsidRDefault="00C44A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lang w:val="x-none" w:eastAsia="x-none"/>
        </w:rPr>
      </w:pPr>
    </w:p>
    <w:p w:rsidR="00C44A62" w:rsidRDefault="00C44A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lang w:val="x-none" w:eastAsia="x-none"/>
        </w:rPr>
      </w:pPr>
    </w:p>
    <w:p w:rsidR="00C44A62" w:rsidRDefault="00C44A6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lang w:val="x-none" w:eastAsia="x-none"/>
        </w:rPr>
      </w:pPr>
    </w:p>
    <w:tbl>
      <w:tblPr>
        <w:tblW w:w="0" w:type="auto"/>
        <w:tblInd w:w="108" w:type="dxa"/>
        <w:tblLayout w:type="fixed"/>
        <w:tblLook w:val="0000" w:firstRow="0" w:lastRow="0" w:firstColumn="0" w:lastColumn="0" w:noHBand="0" w:noVBand="0"/>
      </w:tblPr>
      <w:tblGrid>
        <w:gridCol w:w="2835"/>
        <w:gridCol w:w="7076"/>
      </w:tblGrid>
      <w:tr w:rsidR="00746BEA">
        <w:trPr>
          <w:trHeight w:val="660"/>
        </w:trPr>
        <w:tc>
          <w:tcPr>
            <w:tcW w:w="2835"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59" w:lineRule="auto"/>
              <w:jc w:val="center"/>
              <w:rPr>
                <w:lang w:val="x-none" w:eastAsia="x-none"/>
              </w:rPr>
            </w:pPr>
          </w:p>
        </w:tc>
        <w:tc>
          <w:tcPr>
            <w:tcW w:w="7076"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line="259" w:lineRule="auto"/>
              <w:rPr>
                <w:lang w:val="x-none" w:eastAsia="x-none"/>
              </w:rPr>
            </w:pPr>
            <w:r>
              <w:rPr>
                <w:rFonts w:ascii="Calibri" w:hAnsi="Calibri" w:cs="Calibri"/>
                <w:sz w:val="56"/>
                <w:szCs w:val="56"/>
              </w:rPr>
              <w:t>Comune di Romentino</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line="259" w:lineRule="auto"/>
              <w:rPr>
                <w:lang w:val="x-none" w:eastAsia="x-none"/>
              </w:rPr>
            </w:pPr>
            <w:r>
              <w:rPr>
                <w:rFonts w:ascii="Calibri" w:hAnsi="Calibri" w:cs="Calibri"/>
              </w:rPr>
              <w:t>Via Chiodini, 1 -  ROMENTINO (NO)</w:t>
            </w:r>
          </w:p>
          <w:p w:rsidR="00746BEA" w:rsidRDefault="00746BEA">
            <w:pPr>
              <w:pStyle w:val="Normal"/>
              <w:widowControl/>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60" w:line="259" w:lineRule="auto"/>
              <w:rPr>
                <w:rFonts w:eastAsia="Times New Roman"/>
                <w:sz w:val="20"/>
                <w:szCs w:val="20"/>
              </w:rPr>
            </w:pPr>
            <w:r>
              <w:rPr>
                <w:sz w:val="20"/>
                <w:szCs w:val="20"/>
              </w:rPr>
              <w:t xml:space="preserve">TEL.  </w:t>
            </w:r>
            <w:r>
              <w:rPr>
                <w:rFonts w:eastAsia="Times New Roman"/>
                <w:sz w:val="20"/>
                <w:szCs w:val="20"/>
              </w:rPr>
              <w:t xml:space="preserve">– FAX  </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line="259" w:lineRule="auto"/>
              <w:rPr>
                <w:lang w:val="x-none" w:eastAsia="x-none"/>
              </w:rPr>
            </w:pP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sz w:val="56"/>
          <w:szCs w:val="56"/>
        </w:rPr>
      </w:pPr>
      <w:r>
        <w:rPr>
          <w:rFonts w:ascii="Calibri" w:hAnsi="Calibri" w:cs="Calibri"/>
          <w:sz w:val="80"/>
          <w:szCs w:val="80"/>
        </w:rPr>
        <w:t>S</w:t>
      </w:r>
      <w:r>
        <w:rPr>
          <w:rFonts w:ascii="Calibri" w:hAnsi="Calibri" w:cs="Calibri"/>
          <w:sz w:val="72"/>
          <w:szCs w:val="72"/>
        </w:rPr>
        <w:t>CHEMA DI</w:t>
      </w:r>
      <w:r>
        <w:rPr>
          <w:rFonts w:ascii="Calibri" w:hAnsi="Calibri" w:cs="Calibri"/>
          <w:sz w:val="80"/>
          <w:szCs w:val="80"/>
        </w:rPr>
        <w:t xml:space="preserve"> C</w:t>
      </w:r>
      <w:r>
        <w:rPr>
          <w:rFonts w:ascii="Calibri" w:hAnsi="Calibri" w:cs="Calibri"/>
          <w:sz w:val="72"/>
          <w:szCs w:val="72"/>
        </w:rPr>
        <w:t>ONTRATTO</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lang w:val="x-none" w:eastAsia="x-none"/>
        </w:rPr>
      </w:pP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lang w:val="x-none" w:eastAsia="x-none"/>
        </w:rPr>
      </w:pP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lang w:val="x-none" w:eastAsia="x-none"/>
        </w:rPr>
      </w:pPr>
    </w:p>
    <w:tbl>
      <w:tblPr>
        <w:tblW w:w="0" w:type="auto"/>
        <w:tblInd w:w="108" w:type="dxa"/>
        <w:tblLayout w:type="fixed"/>
        <w:tblLook w:val="0000" w:firstRow="0" w:lastRow="0" w:firstColumn="0" w:lastColumn="0" w:noHBand="0" w:noVBand="0"/>
      </w:tblPr>
      <w:tblGrid>
        <w:gridCol w:w="2835"/>
        <w:gridCol w:w="7088"/>
      </w:tblGrid>
      <w:tr w:rsidR="00746BEA">
        <w:trPr>
          <w:gridAfter w:val="1"/>
          <w:wAfter w:w="7088" w:type="dxa"/>
          <w:trHeight w:val="280"/>
        </w:trPr>
        <w:tc>
          <w:tcPr>
            <w:tcW w:w="2835" w:type="dxa"/>
            <w:tcBorders>
              <w:top w:val="nil"/>
              <w:left w:val="nil"/>
              <w:bottom w:val="nil"/>
              <w:right w:val="nil"/>
            </w:tcBorders>
            <w:shd w:val="clear" w:color="auto" w:fill="D9D9D9"/>
            <w:vAlign w:val="cente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59" w:lineRule="auto"/>
              <w:rPr>
                <w:rFonts w:ascii="Calibri" w:hAnsi="Calibri" w:cs="Calibri"/>
                <w:b/>
                <w:bCs/>
              </w:rPr>
            </w:pPr>
            <w:r>
              <w:rPr>
                <w:rFonts w:ascii="Calibri" w:hAnsi="Calibri" w:cs="Calibri"/>
                <w:b/>
                <w:bCs/>
              </w:rPr>
              <w:t>LAVORI DI</w:t>
            </w:r>
          </w:p>
        </w:tc>
      </w:tr>
      <w:tr w:rsidR="00746BEA">
        <w:tc>
          <w:tcPr>
            <w:tcW w:w="9923" w:type="dxa"/>
            <w:gridSpan w:val="2"/>
            <w:tcBorders>
              <w:top w:val="single" w:sz="4" w:space="0" w:color="D9D9D9"/>
              <w:left w:val="nil"/>
              <w:bottom w:val="single" w:sz="4" w:space="0" w:color="D9D9D9"/>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20" w:after="160" w:line="259" w:lineRule="auto"/>
              <w:jc w:val="both"/>
              <w:rPr>
                <w:rFonts w:ascii="Calibri" w:hAnsi="Calibri" w:cs="Calibri"/>
                <w:lang w:val="x-none" w:eastAsia="x-none"/>
              </w:rPr>
            </w:pPr>
            <w:r>
              <w:rPr>
                <w:rFonts w:ascii="Calibri" w:hAnsi="Calibri" w:cs="Calibri"/>
                <w:sz w:val="18"/>
                <w:szCs w:val="18"/>
              </w:rPr>
              <w:t>Area sportiva Comunale in Via Tintoretto - Riqualificazione e nuovi impianti - LOTTO 1 -  Comparto 1B Spazi per attività di servizio e aggiuntivi</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lang w:val="x-none" w:eastAsia="x-none"/>
        </w:rPr>
      </w:pP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lang w:val="x-none" w:eastAsia="x-none"/>
        </w:rPr>
      </w:pPr>
    </w:p>
    <w:tbl>
      <w:tblPr>
        <w:tblW w:w="0" w:type="auto"/>
        <w:tblInd w:w="108" w:type="dxa"/>
        <w:tblLayout w:type="fixed"/>
        <w:tblLook w:val="0000" w:firstRow="0" w:lastRow="0" w:firstColumn="0" w:lastColumn="0" w:noHBand="0" w:noVBand="0"/>
      </w:tblPr>
      <w:tblGrid>
        <w:gridCol w:w="2835"/>
        <w:gridCol w:w="7050"/>
      </w:tblGrid>
      <w:tr w:rsidR="00746BEA">
        <w:trPr>
          <w:gridAfter w:val="1"/>
          <w:wAfter w:w="7050" w:type="dxa"/>
          <w:trHeight w:val="280"/>
        </w:trPr>
        <w:tc>
          <w:tcPr>
            <w:tcW w:w="2835" w:type="dxa"/>
            <w:tcBorders>
              <w:top w:val="nil"/>
              <w:left w:val="nil"/>
              <w:bottom w:val="single" w:sz="4" w:space="0" w:color="FFFFFF"/>
              <w:right w:val="nil"/>
            </w:tcBorders>
            <w:shd w:val="clear" w:color="auto" w:fill="D9D9D9"/>
            <w:vAlign w:val="cente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59" w:lineRule="auto"/>
              <w:rPr>
                <w:rFonts w:ascii="Calibri" w:hAnsi="Calibri" w:cs="Calibri"/>
              </w:rPr>
            </w:pPr>
            <w:r>
              <w:rPr>
                <w:rFonts w:ascii="Calibri" w:hAnsi="Calibri" w:cs="Calibri"/>
                <w:b/>
                <w:bCs/>
              </w:rPr>
              <w:t>DATI APPALTO</w:t>
            </w:r>
          </w:p>
        </w:tc>
      </w:tr>
      <w:tr w:rsidR="00746BEA">
        <w:tc>
          <w:tcPr>
            <w:tcW w:w="2835" w:type="dxa"/>
            <w:tcBorders>
              <w:top w:val="single" w:sz="4" w:space="0" w:color="FFFFFF"/>
              <w:left w:val="nil"/>
              <w:bottom w:val="nil"/>
              <w:right w:val="nil"/>
            </w:tcBorders>
            <w:shd w:val="clear" w:color="auto" w:fill="D9D9D9"/>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jc w:val="right"/>
              <w:rPr>
                <w:rFonts w:ascii="Calibri" w:hAnsi="Calibri" w:cs="Calibri"/>
              </w:rPr>
            </w:pPr>
            <w:r>
              <w:rPr>
                <w:rFonts w:ascii="Calibri" w:hAnsi="Calibri" w:cs="Calibri"/>
              </w:rPr>
              <w:t>Codice unico di progetto (CUP)</w:t>
            </w:r>
          </w:p>
        </w:tc>
        <w:tc>
          <w:tcPr>
            <w:tcW w:w="7050" w:type="dxa"/>
            <w:tcBorders>
              <w:top w:val="single" w:sz="4" w:space="0" w:color="D9D9D9"/>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rPr>
                <w:rFonts w:ascii="Calibri" w:hAnsi="Calibri" w:cs="Calibri"/>
              </w:rPr>
            </w:pPr>
          </w:p>
        </w:tc>
      </w:tr>
      <w:tr w:rsidR="00746BEA">
        <w:tc>
          <w:tcPr>
            <w:tcW w:w="2835" w:type="dxa"/>
            <w:tcBorders>
              <w:top w:val="nil"/>
              <w:left w:val="nil"/>
              <w:bottom w:val="nil"/>
              <w:right w:val="nil"/>
            </w:tcBorders>
            <w:shd w:val="clear" w:color="auto" w:fill="D9D9D9"/>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jc w:val="right"/>
              <w:rPr>
                <w:rFonts w:ascii="Calibri" w:hAnsi="Calibri" w:cs="Calibri"/>
              </w:rPr>
            </w:pPr>
            <w:r>
              <w:rPr>
                <w:rFonts w:ascii="Calibri" w:hAnsi="Calibri" w:cs="Calibri"/>
              </w:rPr>
              <w:t>Codice Identificativo Gara (CIG)</w:t>
            </w:r>
          </w:p>
        </w:tc>
        <w:tc>
          <w:tcPr>
            <w:tcW w:w="705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rPr>
                <w:rFonts w:ascii="Calibri" w:hAnsi="Calibri" w:cs="Calibri"/>
              </w:rPr>
            </w:pPr>
          </w:p>
        </w:tc>
      </w:tr>
      <w:tr w:rsidR="00746BEA">
        <w:tc>
          <w:tcPr>
            <w:tcW w:w="2835" w:type="dxa"/>
            <w:tcBorders>
              <w:top w:val="nil"/>
              <w:left w:val="nil"/>
              <w:bottom w:val="nil"/>
              <w:right w:val="nil"/>
            </w:tcBorders>
            <w:shd w:val="clear" w:color="auto" w:fill="D9D9D9"/>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jc w:val="right"/>
              <w:rPr>
                <w:rFonts w:ascii="Calibri" w:hAnsi="Calibri" w:cs="Calibri"/>
              </w:rPr>
            </w:pPr>
            <w:r>
              <w:rPr>
                <w:rFonts w:ascii="Calibri" w:hAnsi="Calibri" w:cs="Calibri"/>
              </w:rPr>
              <w:t>Contratto</w:t>
            </w:r>
          </w:p>
        </w:tc>
        <w:tc>
          <w:tcPr>
            <w:tcW w:w="705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rPr>
                <w:rFonts w:ascii="Calibri" w:hAnsi="Calibri" w:cs="Calibri"/>
              </w:rPr>
            </w:pPr>
            <w:r>
              <w:rPr>
                <w:rFonts w:ascii="Calibri" w:hAnsi="Calibri" w:cs="Calibri"/>
              </w:rPr>
              <w:t>A corpo</w:t>
            </w:r>
          </w:p>
        </w:tc>
      </w:tr>
      <w:tr w:rsidR="00746BEA">
        <w:tc>
          <w:tcPr>
            <w:tcW w:w="2835" w:type="dxa"/>
            <w:tcBorders>
              <w:top w:val="nil"/>
              <w:left w:val="nil"/>
              <w:bottom w:val="nil"/>
              <w:right w:val="nil"/>
            </w:tcBorders>
            <w:shd w:val="clear" w:color="auto" w:fill="D9D9D9"/>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jc w:val="right"/>
              <w:rPr>
                <w:rFonts w:ascii="Calibri" w:hAnsi="Calibri" w:cs="Calibri"/>
              </w:rPr>
            </w:pPr>
            <w:r>
              <w:rPr>
                <w:rFonts w:ascii="Calibri" w:hAnsi="Calibri" w:cs="Calibri"/>
              </w:rPr>
              <w:t>Importo dei lavori</w:t>
            </w:r>
          </w:p>
        </w:tc>
        <w:tc>
          <w:tcPr>
            <w:tcW w:w="705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rPr>
                <w:rFonts w:ascii="Calibri" w:hAnsi="Calibri" w:cs="Calibri"/>
              </w:rPr>
            </w:pPr>
            <w:r>
              <w:rPr>
                <w:rFonts w:ascii="Calibri" w:hAnsi="Calibri" w:cs="Calibri"/>
              </w:rPr>
              <w:t>234.382,84 €</w:t>
            </w:r>
          </w:p>
        </w:tc>
      </w:tr>
      <w:tr w:rsidR="00746BEA">
        <w:tc>
          <w:tcPr>
            <w:tcW w:w="2835" w:type="dxa"/>
            <w:tcBorders>
              <w:top w:val="nil"/>
              <w:left w:val="nil"/>
              <w:bottom w:val="nil"/>
              <w:right w:val="nil"/>
            </w:tcBorders>
            <w:shd w:val="clear" w:color="auto" w:fill="D9D9D9"/>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jc w:val="right"/>
              <w:rPr>
                <w:rFonts w:ascii="Calibri" w:hAnsi="Calibri" w:cs="Calibri"/>
              </w:rPr>
            </w:pPr>
            <w:r>
              <w:rPr>
                <w:rFonts w:ascii="Calibri" w:hAnsi="Calibri" w:cs="Calibri"/>
              </w:rPr>
              <w:t>Costi della Sicurezza</w:t>
            </w:r>
          </w:p>
        </w:tc>
        <w:tc>
          <w:tcPr>
            <w:tcW w:w="705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rPr>
                <w:rFonts w:ascii="Calibri" w:hAnsi="Calibri" w:cs="Calibri"/>
              </w:rPr>
            </w:pPr>
            <w:r>
              <w:rPr>
                <w:rFonts w:ascii="Calibri" w:hAnsi="Calibri" w:cs="Calibri"/>
              </w:rPr>
              <w:t>2.619,11 €</w:t>
            </w:r>
          </w:p>
        </w:tc>
      </w:tr>
      <w:tr w:rsidR="00746BEA">
        <w:tc>
          <w:tcPr>
            <w:tcW w:w="2835" w:type="dxa"/>
            <w:tcBorders>
              <w:top w:val="nil"/>
              <w:left w:val="nil"/>
              <w:bottom w:val="single" w:sz="4" w:space="0" w:color="D9D9D9"/>
              <w:right w:val="nil"/>
            </w:tcBorders>
            <w:shd w:val="clear" w:color="auto" w:fill="D9D9D9"/>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jc w:val="right"/>
              <w:rPr>
                <w:rFonts w:ascii="Calibri" w:hAnsi="Calibri" w:cs="Calibri"/>
                <w:b/>
                <w:bCs/>
              </w:rPr>
            </w:pPr>
            <w:r>
              <w:rPr>
                <w:rFonts w:ascii="Calibri" w:hAnsi="Calibri" w:cs="Calibri"/>
                <w:b/>
                <w:bCs/>
              </w:rPr>
              <w:t>TOTALE APPALTO</w:t>
            </w:r>
          </w:p>
        </w:tc>
        <w:tc>
          <w:tcPr>
            <w:tcW w:w="7050" w:type="dxa"/>
            <w:tcBorders>
              <w:top w:val="nil"/>
              <w:left w:val="nil"/>
              <w:bottom w:val="single" w:sz="4" w:space="0" w:color="D9D9D9"/>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before="113" w:line="259" w:lineRule="auto"/>
              <w:rPr>
                <w:rFonts w:ascii="Calibri" w:hAnsi="Calibri" w:cs="Calibri"/>
                <w:b/>
                <w:bCs/>
              </w:rPr>
            </w:pPr>
            <w:r>
              <w:rPr>
                <w:rFonts w:ascii="Calibri" w:hAnsi="Calibri" w:cs="Calibri"/>
                <w:b/>
                <w:bCs/>
                <w:sz w:val="22"/>
                <w:szCs w:val="22"/>
              </w:rPr>
              <w:t>237.001,95 €</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color w:val="FFFFFF"/>
        </w:rPr>
      </w:pP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alibri" w:hAnsi="Calibri" w:cs="Calibri"/>
        </w:rPr>
      </w:pPr>
    </w:p>
    <w:tbl>
      <w:tblPr>
        <w:tblW w:w="0" w:type="auto"/>
        <w:tblInd w:w="6096" w:type="dxa"/>
        <w:tblLayout w:type="fixed"/>
        <w:tblCellMar>
          <w:left w:w="0" w:type="dxa"/>
          <w:right w:w="0" w:type="dxa"/>
        </w:tblCellMar>
        <w:tblLook w:val="0000" w:firstRow="0" w:lastRow="0" w:firstColumn="0" w:lastColumn="0" w:noHBand="0" w:noVBand="0"/>
      </w:tblPr>
      <w:tblGrid>
        <w:gridCol w:w="3815"/>
      </w:tblGrid>
      <w:tr w:rsidR="00746BEA">
        <w:tc>
          <w:tcPr>
            <w:tcW w:w="3815"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sz w:val="22"/>
                <w:szCs w:val="22"/>
                <w:lang w:val="x-none" w:eastAsia="x-none"/>
              </w:rPr>
            </w:pPr>
            <w:r>
              <w:rPr>
                <w:rFonts w:ascii="Calibri" w:hAnsi="Calibri" w:cs="Calibri"/>
                <w:sz w:val="22"/>
                <w:szCs w:val="22"/>
              </w:rPr>
              <w:t xml:space="preserve">Il Responsabile Unico del Procedimento </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59" w:lineRule="auto"/>
              <w:jc w:val="center"/>
              <w:rPr>
                <w:rFonts w:ascii="Calibri" w:hAnsi="Calibri" w:cs="Calibri"/>
                <w:sz w:val="22"/>
                <w:szCs w:val="22"/>
              </w:rPr>
            </w:pPr>
            <w:r>
              <w:rPr>
                <w:rFonts w:ascii="Calibri" w:hAnsi="Calibri" w:cs="Calibri"/>
                <w:b/>
                <w:bCs/>
              </w:rPr>
              <w:t>Arch. Elena Riggio</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60" w:line="259" w:lineRule="auto"/>
              <w:jc w:val="center"/>
              <w:rPr>
                <w:lang w:val="x-none" w:eastAsia="x-none"/>
              </w:rPr>
            </w:pPr>
          </w:p>
        </w:tc>
      </w:tr>
      <w:tr w:rsidR="00746BEA">
        <w:tc>
          <w:tcPr>
            <w:tcW w:w="3815" w:type="dxa"/>
            <w:tcBorders>
              <w:top w:val="nil"/>
              <w:left w:val="nil"/>
              <w:bottom w:val="single" w:sz="4" w:space="0" w:color="auto"/>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60" w:line="259" w:lineRule="auto"/>
              <w:jc w:val="center"/>
              <w:rPr>
                <w:rFonts w:ascii="Calibri" w:hAnsi="Calibri" w:cs="Calibri"/>
                <w:sz w:val="22"/>
                <w:szCs w:val="22"/>
              </w:rPr>
            </w:pP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60" w:line="259" w:lineRule="auto"/>
        <w:rPr>
          <w:rFonts w:ascii="Calibri" w:hAnsi="Calibri" w:cs="Calibri"/>
          <w:sz w:val="22"/>
          <w:szCs w:val="22"/>
          <w:lang w:val="x-none" w:eastAsia="x-none"/>
        </w:rPr>
      </w:pPr>
    </w:p>
    <w:tbl>
      <w:tblPr>
        <w:tblW w:w="0" w:type="auto"/>
        <w:tblInd w:w="6091" w:type="dxa"/>
        <w:tblLayout w:type="fixed"/>
        <w:tblCellMar>
          <w:left w:w="0" w:type="dxa"/>
          <w:right w:w="0" w:type="dxa"/>
        </w:tblCellMar>
        <w:tblLook w:val="0000" w:firstRow="0" w:lastRow="0" w:firstColumn="0" w:lastColumn="0" w:noHBand="0" w:noVBand="0"/>
      </w:tblPr>
      <w:tblGrid>
        <w:gridCol w:w="3820"/>
      </w:tblGrid>
      <w:tr w:rsidR="00746BEA">
        <w:tc>
          <w:tcPr>
            <w:tcW w:w="382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259" w:lineRule="auto"/>
              <w:jc w:val="center"/>
              <w:rPr>
                <w:rFonts w:ascii="Calibri" w:hAnsi="Calibri" w:cs="Calibri"/>
                <w:sz w:val="22"/>
                <w:szCs w:val="22"/>
              </w:rPr>
            </w:pPr>
            <w:r>
              <w:rPr>
                <w:rFonts w:ascii="Calibri" w:hAnsi="Calibri" w:cs="Calibri"/>
                <w:sz w:val="22"/>
                <w:szCs w:val="22"/>
              </w:rPr>
              <w:t>Il Progettista</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70" w:line="259" w:lineRule="auto"/>
              <w:jc w:val="center"/>
              <w:rPr>
                <w:sz w:val="22"/>
                <w:szCs w:val="22"/>
                <w:lang w:val="x-none" w:eastAsia="x-none"/>
              </w:rPr>
            </w:pPr>
            <w:r>
              <w:rPr>
                <w:rFonts w:ascii="Calibri" w:hAnsi="Calibri" w:cs="Calibri"/>
                <w:b/>
                <w:bCs/>
              </w:rPr>
              <w:t xml:space="preserve"> Fernando </w:t>
            </w:r>
            <w:proofErr w:type="spellStart"/>
            <w:r>
              <w:rPr>
                <w:rFonts w:ascii="Calibri" w:hAnsi="Calibri" w:cs="Calibri"/>
                <w:b/>
                <w:bCs/>
              </w:rPr>
              <w:t>Grignaschi</w:t>
            </w:r>
            <w:proofErr w:type="spellEnd"/>
          </w:p>
        </w:tc>
      </w:tr>
      <w:tr w:rsidR="00746BEA">
        <w:tc>
          <w:tcPr>
            <w:tcW w:w="3820" w:type="dxa"/>
            <w:tcBorders>
              <w:top w:val="nil"/>
              <w:left w:val="nil"/>
              <w:bottom w:val="single" w:sz="4" w:space="0" w:color="auto"/>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160" w:line="259" w:lineRule="auto"/>
              <w:jc w:val="center"/>
              <w:rPr>
                <w:rFonts w:ascii="Calibri" w:hAnsi="Calibri" w:cs="Calibri"/>
                <w:color w:val="FFFFFF"/>
              </w:rPr>
            </w:pPr>
          </w:p>
        </w:tc>
      </w:tr>
    </w:tbl>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rebuchet MS" w:hAnsi="Trebuchet MS" w:cs="Trebuchet MS"/>
          <w:sz w:val="20"/>
          <w:szCs w:val="20"/>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rebuchet MS" w:hAnsi="Trebuchet MS" w:cs="Trebuchet MS"/>
          <w:sz w:val="20"/>
          <w:szCs w:val="20"/>
        </w:rPr>
        <w:sectPr w:rsidR="00746BEA">
          <w:pgSz w:w="11906" w:h="16838"/>
          <w:pgMar w:top="1140" w:right="845" w:bottom="1140" w:left="1140" w:header="720" w:footer="720" w:gutter="0"/>
          <w:cols w:space="720"/>
          <w:noEndnote/>
          <w:rtlGutter/>
        </w:sectPr>
      </w:pPr>
    </w:p>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rPr>
          <w:rFonts w:ascii="Calibri" w:hAnsi="Calibri" w:cs="Calibri"/>
          <w:b/>
          <w:bCs/>
          <w:sz w:val="36"/>
          <w:szCs w:val="36"/>
          <w:lang w:val="x-none" w:eastAsia="x-none"/>
        </w:rPr>
      </w:pPr>
      <w:r>
        <w:rPr>
          <w:rFonts w:ascii="Calibri" w:hAnsi="Calibri" w:cs="Calibri"/>
          <w:b/>
          <w:bCs/>
          <w:sz w:val="36"/>
          <w:szCs w:val="36"/>
          <w:lang w:val="x-none" w:eastAsia="x-none"/>
        </w:rPr>
        <w:lastRenderedPageBreak/>
        <w:t>CONTRATTO D'APPALTO</w:t>
      </w:r>
    </w:p>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rPr>
          <w:rFonts w:ascii="Calibri" w:hAnsi="Calibri" w:cs="Calibri"/>
          <w:sz w:val="20"/>
          <w:szCs w:val="20"/>
          <w:lang w:val="x-none" w:eastAsia="x-none"/>
        </w:rPr>
      </w:pPr>
    </w:p>
    <w:p w:rsidR="00C44A62"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sz w:val="22"/>
          <w:szCs w:val="22"/>
          <w:lang w:val="x-none" w:eastAsia="x-none"/>
        </w:rPr>
      </w:pPr>
      <w:r>
        <w:rPr>
          <w:rFonts w:ascii="Calibri" w:hAnsi="Calibri" w:cs="Calibri"/>
          <w:sz w:val="22"/>
          <w:szCs w:val="22"/>
          <w:lang w:val="x-none" w:eastAsia="x-none"/>
        </w:rPr>
        <w:t>Area sportiva Comunale in Via Tintoretto - Riqualificazion</w:t>
      </w:r>
      <w:r w:rsidR="00C44A62">
        <w:rPr>
          <w:rFonts w:ascii="Calibri" w:hAnsi="Calibri" w:cs="Calibri"/>
          <w:sz w:val="22"/>
          <w:szCs w:val="22"/>
          <w:lang w:val="x-none" w:eastAsia="x-none"/>
        </w:rPr>
        <w:t xml:space="preserve">e e nuovi impianti - LOTTO 1 </w:t>
      </w:r>
    </w:p>
    <w:p w:rsidR="00746BEA" w:rsidRPr="00C44A62"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b/>
          <w:sz w:val="22"/>
          <w:szCs w:val="22"/>
          <w:lang w:val="x-none" w:eastAsia="x-none"/>
        </w:rPr>
      </w:pPr>
      <w:r w:rsidRPr="00C44A62">
        <w:rPr>
          <w:rFonts w:ascii="Calibri" w:hAnsi="Calibri" w:cs="Calibri"/>
          <w:b/>
          <w:sz w:val="22"/>
          <w:szCs w:val="22"/>
          <w:lang w:val="x-none" w:eastAsia="x-none"/>
        </w:rPr>
        <w:t>Comparto 1B Spazi per attività di servizio e aggiuntivi</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sz w:val="22"/>
          <w:szCs w:val="22"/>
          <w:lang w:val="x-none" w:eastAsia="x-none"/>
        </w:rPr>
      </w:pPr>
      <w:r>
        <w:rPr>
          <w:rFonts w:ascii="Calibri" w:hAnsi="Calibri" w:cs="Calibri"/>
          <w:sz w:val="22"/>
          <w:szCs w:val="22"/>
          <w:lang w:val="x-none" w:eastAsia="x-none"/>
        </w:rPr>
        <w:t>Repertorio n. ________  del ____________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sz w:val="22"/>
          <w:szCs w:val="22"/>
          <w:lang w:val="x-none" w:eastAsia="x-none"/>
        </w:rPr>
      </w:pPr>
      <w:r>
        <w:rPr>
          <w:rFonts w:ascii="Calibri" w:hAnsi="Calibri" w:cs="Calibri"/>
          <w:sz w:val="22"/>
          <w:szCs w:val="22"/>
          <w:lang w:val="x-none" w:eastAsia="x-none"/>
        </w:rPr>
        <w:t xml:space="preserve">Codice identificativo gara (CIG): </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sz w:val="22"/>
          <w:szCs w:val="22"/>
          <w:lang w:val="x-none" w:eastAsia="x-none"/>
        </w:rPr>
      </w:pPr>
      <w:r>
        <w:rPr>
          <w:rFonts w:ascii="Calibri" w:hAnsi="Calibri" w:cs="Calibri"/>
          <w:sz w:val="22"/>
          <w:szCs w:val="22"/>
          <w:lang w:val="x-none" w:eastAsia="x-none"/>
        </w:rPr>
        <w:t xml:space="preserve">Codice Unico di Progetto (CUP): </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color w:val="FF8000"/>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sz w:val="22"/>
          <w:szCs w:val="22"/>
          <w:lang w:val="x-none" w:eastAsia="x-none"/>
        </w:rPr>
      </w:pPr>
      <w:r>
        <w:rPr>
          <w:rFonts w:ascii="Calibri" w:hAnsi="Calibri" w:cs="Calibri"/>
          <w:sz w:val="22"/>
          <w:szCs w:val="22"/>
          <w:lang w:val="x-none" w:eastAsia="x-none"/>
        </w:rPr>
        <w:t xml:space="preserve">Totale </w:t>
      </w:r>
      <w:r w:rsidR="005F05C9" w:rsidRPr="005F05C9">
        <w:rPr>
          <w:rFonts w:ascii="Calibri" w:hAnsi="Calibri" w:cs="Calibri"/>
          <w:color w:val="FF0000"/>
          <w:sz w:val="22"/>
          <w:szCs w:val="22"/>
          <w:lang w:eastAsia="x-none"/>
        </w:rPr>
        <w:t>a base di gara</w:t>
      </w:r>
      <w:r w:rsidR="005F05C9">
        <w:rPr>
          <w:rFonts w:ascii="Calibri" w:hAnsi="Calibri" w:cs="Calibri"/>
          <w:color w:val="FF0000"/>
          <w:sz w:val="22"/>
          <w:szCs w:val="22"/>
          <w:lang w:eastAsia="x-none"/>
        </w:rPr>
        <w:t xml:space="preserve"> (soggetto a ribasso)</w:t>
      </w:r>
      <w:r>
        <w:rPr>
          <w:rFonts w:ascii="Calibri" w:hAnsi="Calibri" w:cs="Calibri"/>
          <w:sz w:val="22"/>
          <w:szCs w:val="22"/>
          <w:lang w:val="x-none" w:eastAsia="x-none"/>
        </w:rPr>
        <w:t xml:space="preserve">: </w:t>
      </w:r>
      <w:r>
        <w:rPr>
          <w:rFonts w:ascii="Calibri" w:hAnsi="Calibri" w:cs="Calibri"/>
          <w:sz w:val="22"/>
          <w:szCs w:val="22"/>
        </w:rPr>
        <w:t>237.001,95 €</w:t>
      </w:r>
    </w:p>
    <w:p w:rsidR="00746BEA" w:rsidRDefault="005F05C9">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sz w:val="22"/>
          <w:szCs w:val="22"/>
          <w:lang w:val="x-none" w:eastAsia="x-none"/>
        </w:rPr>
      </w:pPr>
      <w:r w:rsidRPr="005F05C9">
        <w:rPr>
          <w:rFonts w:ascii="Calibri" w:hAnsi="Calibri" w:cs="Calibri"/>
          <w:color w:val="FF0000"/>
          <w:sz w:val="22"/>
          <w:szCs w:val="22"/>
          <w:lang w:eastAsia="x-none"/>
        </w:rPr>
        <w:t xml:space="preserve">Di cui </w:t>
      </w:r>
      <w:r w:rsidR="00746BEA">
        <w:rPr>
          <w:rFonts w:ascii="Calibri" w:hAnsi="Calibri" w:cs="Calibri"/>
          <w:sz w:val="22"/>
          <w:szCs w:val="22"/>
          <w:lang w:val="x-none" w:eastAsia="x-none"/>
        </w:rPr>
        <w:t>Oneri della sicurezza</w:t>
      </w:r>
      <w:r>
        <w:rPr>
          <w:rFonts w:ascii="Calibri" w:hAnsi="Calibri" w:cs="Calibri"/>
          <w:sz w:val="22"/>
          <w:szCs w:val="22"/>
          <w:lang w:eastAsia="x-none"/>
        </w:rPr>
        <w:t xml:space="preserve"> </w:t>
      </w:r>
      <w:r w:rsidRPr="005F05C9">
        <w:rPr>
          <w:rFonts w:ascii="Calibri" w:hAnsi="Calibri" w:cs="Calibri"/>
          <w:color w:val="FF0000"/>
          <w:sz w:val="22"/>
          <w:szCs w:val="22"/>
          <w:lang w:eastAsia="x-none"/>
        </w:rPr>
        <w:t>(non soggetti a ribasso)</w:t>
      </w:r>
      <w:r w:rsidR="00746BEA" w:rsidRPr="005F05C9">
        <w:rPr>
          <w:rFonts w:ascii="Calibri" w:hAnsi="Calibri" w:cs="Calibri"/>
          <w:color w:val="FF0000"/>
          <w:sz w:val="22"/>
          <w:szCs w:val="22"/>
          <w:lang w:val="x-none" w:eastAsia="x-none"/>
        </w:rPr>
        <w:t xml:space="preserve">: </w:t>
      </w:r>
      <w:r w:rsidR="00746BEA">
        <w:rPr>
          <w:rFonts w:ascii="Calibri" w:hAnsi="Calibri" w:cs="Calibri"/>
          <w:sz w:val="22"/>
          <w:szCs w:val="22"/>
          <w:lang w:val="x-none" w:eastAsia="x-none"/>
        </w:rPr>
        <w:t>2.619,11 €</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b/>
          <w:bCs/>
          <w:color w:val="FF8000"/>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In_______________, il giorno _____ del mese di _______________ dell' anno duemila_____________, nella sede della stazione appaltante sita in_______________ , alla via_______________ , avanti a me dott. _______________________, autorizzato a ricevere atti e contratti nell'interesse dell'Amministrazione in base ……….., senza l'assistenza dei testimoni per espressa rinuncia fatta di comune accordo dalle parti e con il mio consenso, aventi i requisiti di legge, si sono costituiti e sono presenti:</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 il sig. ____________________nato a _______________ il _____________, C.F.: _____________________, nella sua qualità di dirigente dell'Amministrazione _______________________, a tale funzione nominato con provvedimento del______________. n. ___.,  che in copia si allega al presente atto, il quale dichiara di agire esclusivamente per conto e nell'interesse dell'Amministrazione che rappresenta e presso cui è domiciliato, ai sensi delle vigenti disposizioni normative, di seguito nel presente atto denominato semplicemente "stazione appaltante";</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b/>
          <w:bCs/>
          <w:sz w:val="22"/>
          <w:szCs w:val="22"/>
          <w:lang w:val="x-none" w:eastAsia="x-none"/>
        </w:rPr>
      </w:pPr>
      <w:r>
        <w:rPr>
          <w:rFonts w:ascii="Calibri" w:hAnsi="Calibri" w:cs="Calibri"/>
          <w:b/>
          <w:bCs/>
          <w:sz w:val="22"/>
          <w:szCs w:val="22"/>
          <w:lang w:val="x-none" w:eastAsia="x-none"/>
        </w:rPr>
        <w:t>NEL CASO DI SINGOLA IMPRESA</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 il sig. _________________ nato a ____________ il _______________, in qualità di ____________________  dell'impresa _______________________, C.F.: _____________________, partita I.V.A. ________________, con sede legale in _________________, alla via ________________________, che nel prosieguo dell'atto verrà denominato semplicemente "appaltatore".</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b/>
          <w:bCs/>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b/>
          <w:bCs/>
          <w:sz w:val="22"/>
          <w:szCs w:val="22"/>
          <w:lang w:val="x-none" w:eastAsia="x-none"/>
        </w:rPr>
      </w:pPr>
      <w:r>
        <w:rPr>
          <w:rFonts w:ascii="Calibri" w:hAnsi="Calibri" w:cs="Calibri"/>
          <w:b/>
          <w:bCs/>
          <w:sz w:val="22"/>
          <w:szCs w:val="22"/>
          <w:lang w:val="x-none" w:eastAsia="x-none"/>
        </w:rPr>
        <w:t xml:space="preserve">NEL CASO DI RAGGRUPPAMENTO TEMPORANEO O </w:t>
      </w:r>
      <w:r w:rsidRPr="005F05C9">
        <w:rPr>
          <w:rFonts w:ascii="Calibri" w:hAnsi="Calibri" w:cs="Calibri"/>
          <w:b/>
          <w:bCs/>
          <w:color w:val="FF0000"/>
          <w:sz w:val="22"/>
          <w:szCs w:val="22"/>
          <w:lang w:val="x-none" w:eastAsia="x-none"/>
        </w:rPr>
        <w:t>CON</w:t>
      </w:r>
      <w:r w:rsidR="005F05C9" w:rsidRPr="005F05C9">
        <w:rPr>
          <w:rFonts w:ascii="Calibri" w:hAnsi="Calibri" w:cs="Calibri"/>
          <w:b/>
          <w:bCs/>
          <w:color w:val="FF0000"/>
          <w:sz w:val="22"/>
          <w:szCs w:val="22"/>
          <w:lang w:eastAsia="x-none"/>
        </w:rPr>
        <w:t>SOR</w:t>
      </w:r>
      <w:r w:rsidRPr="005F05C9">
        <w:rPr>
          <w:rFonts w:ascii="Calibri" w:hAnsi="Calibri" w:cs="Calibri"/>
          <w:b/>
          <w:bCs/>
          <w:color w:val="FF0000"/>
          <w:sz w:val="22"/>
          <w:szCs w:val="22"/>
          <w:lang w:val="x-none" w:eastAsia="x-none"/>
        </w:rPr>
        <w:t xml:space="preserve">ZIO </w:t>
      </w:r>
      <w:r>
        <w:rPr>
          <w:rFonts w:ascii="Calibri" w:hAnsi="Calibri" w:cs="Calibri"/>
          <w:b/>
          <w:bCs/>
          <w:sz w:val="22"/>
          <w:szCs w:val="22"/>
          <w:lang w:val="x-none" w:eastAsia="x-none"/>
        </w:rPr>
        <w:t>ORDINARIO DI IMPRESE</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 il sig. _________________ nato a ____________ il _______________, in qualità di ____________________  dell'impresa _______________________, C.F.: _____________________, partita I.V.A. ________________, con sede legale in _________________, alla via ________________________, che agisce quale capogruppo mandatario del raggruppamento temporaneo /consorzio ordinario di imprese, costituito con atto del notaio ______________________, in _____________, Repertorio n° _________ in data __________ , tra essa e le seguenti imprese mandanti:</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b/>
          <w:bCs/>
          <w:sz w:val="22"/>
          <w:szCs w:val="22"/>
          <w:lang w:val="x-none" w:eastAsia="x-none"/>
        </w:rPr>
        <w:t xml:space="preserve">Impresa - 1 </w:t>
      </w:r>
      <w:r>
        <w:rPr>
          <w:rFonts w:ascii="Calibri" w:hAnsi="Calibri" w:cs="Calibri"/>
          <w:sz w:val="22"/>
          <w:szCs w:val="22"/>
          <w:lang w:val="x-none" w:eastAsia="x-none"/>
        </w:rPr>
        <w:t xml:space="preserve"> ______________________________________________________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C.F.:  _________________________, Partita I.V.A. _______________________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con sede in __________________, Via ______________________, n°________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b/>
          <w:bCs/>
          <w:sz w:val="22"/>
          <w:szCs w:val="22"/>
          <w:lang w:val="x-none" w:eastAsia="x-none"/>
        </w:rPr>
        <w:t>Impresa - 2</w:t>
      </w:r>
      <w:r>
        <w:rPr>
          <w:rFonts w:ascii="Calibri" w:hAnsi="Calibri" w:cs="Calibri"/>
          <w:sz w:val="22"/>
          <w:szCs w:val="22"/>
          <w:lang w:val="x-none" w:eastAsia="x-none"/>
        </w:rPr>
        <w:t xml:space="preserve">  ______________________________________________________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C.F.:  _________________________, Partita I.V.A. _______________________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con sede in __________________, Via ______________________, n°________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b/>
          <w:bCs/>
          <w:sz w:val="22"/>
          <w:szCs w:val="22"/>
          <w:lang w:val="x-none" w:eastAsia="x-none"/>
        </w:rPr>
        <w:t>Impresa - 3</w:t>
      </w:r>
      <w:r>
        <w:rPr>
          <w:rFonts w:ascii="Calibri" w:hAnsi="Calibri" w:cs="Calibri"/>
          <w:sz w:val="22"/>
          <w:szCs w:val="22"/>
          <w:lang w:val="x-none" w:eastAsia="x-none"/>
        </w:rPr>
        <w:t xml:space="preserve"> ______________________________________________________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C.F.:  _________________________, Partita I.V.A. _______________________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con sede in __________________, Via ______________________, n°________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b/>
          <w:bCs/>
          <w:sz w:val="22"/>
          <w:szCs w:val="22"/>
          <w:lang w:val="x-none" w:eastAsia="x-none"/>
        </w:rPr>
        <w:t>Impresa - n</w:t>
      </w:r>
      <w:r>
        <w:rPr>
          <w:rFonts w:ascii="Calibri" w:hAnsi="Calibri" w:cs="Calibri"/>
          <w:sz w:val="22"/>
          <w:szCs w:val="22"/>
          <w:lang w:val="x-none" w:eastAsia="x-none"/>
        </w:rPr>
        <w:t xml:space="preserve">  ______________________________________________________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C.F.:  _________________________, Partita I.V.A. _______________________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lastRenderedPageBreak/>
        <w:t>con sede in __________________, Via ______________________, n°________</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detti comparenti, della cui identità personale e capacità giuridica sono certo e faccio fede, mi chiedono di ricevere questo atto, ai fini del quale,</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sz w:val="22"/>
          <w:szCs w:val="22"/>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rPr>
          <w:rFonts w:ascii="Calibri" w:hAnsi="Calibri" w:cs="Calibri"/>
          <w:sz w:val="22"/>
          <w:szCs w:val="22"/>
          <w:lang w:val="x-none" w:eastAsia="x-none"/>
        </w:rPr>
      </w:pPr>
      <w:r>
        <w:rPr>
          <w:rFonts w:ascii="Calibri" w:hAnsi="Calibri" w:cs="Calibri"/>
          <w:b/>
          <w:bCs/>
          <w:sz w:val="22"/>
          <w:szCs w:val="22"/>
          <w:lang w:val="x-none" w:eastAsia="x-none"/>
        </w:rPr>
        <w:t>PREMESSO CHE</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rPr>
          <w:rFonts w:ascii="Calibri" w:hAnsi="Calibri" w:cs="Calibri"/>
          <w:sz w:val="22"/>
          <w:szCs w:val="22"/>
          <w:lang w:val="x-none" w:eastAsia="x-none"/>
        </w:rPr>
      </w:pPr>
    </w:p>
    <w:p w:rsidR="00746BEA" w:rsidRDefault="00746BEA">
      <w:pPr>
        <w:pStyle w:val="Normal"/>
        <w:tabs>
          <w:tab w:val="left" w:pos="113"/>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left="113" w:hanging="113"/>
        <w:jc w:val="both"/>
        <w:rPr>
          <w:rFonts w:ascii="Calibri" w:hAnsi="Calibri" w:cs="Calibri"/>
          <w:sz w:val="22"/>
          <w:szCs w:val="22"/>
          <w:lang w:val="x-none" w:eastAsia="x-none"/>
        </w:rPr>
      </w:pPr>
      <w:r>
        <w:rPr>
          <w:rFonts w:ascii="Calibri" w:hAnsi="Calibri" w:cs="Calibri"/>
          <w:sz w:val="22"/>
          <w:szCs w:val="22"/>
          <w:lang w:val="x-none" w:eastAsia="x-none"/>
        </w:rPr>
        <w:t xml:space="preserve">- con delibera della Giunta ___________ n° ___ del ________ , esecutivo a norma di legge, è stato approvato il progetto esecutivo dei lavori di </w:t>
      </w:r>
    </w:p>
    <w:p w:rsidR="00746BEA" w:rsidRDefault="00746BEA">
      <w:pPr>
        <w:pStyle w:val="Normal"/>
        <w:tabs>
          <w:tab w:val="left" w:pos="113"/>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left="113" w:hanging="113"/>
        <w:jc w:val="both"/>
        <w:rPr>
          <w:rFonts w:ascii="Calibri" w:hAnsi="Calibri" w:cs="Calibri"/>
          <w:sz w:val="22"/>
          <w:szCs w:val="22"/>
          <w:lang w:val="x-none" w:eastAsia="x-none"/>
        </w:rPr>
      </w:pPr>
      <w:r>
        <w:rPr>
          <w:rFonts w:ascii="Calibri" w:hAnsi="Calibri" w:cs="Calibri"/>
          <w:sz w:val="22"/>
          <w:szCs w:val="22"/>
          <w:lang w:val="x-none" w:eastAsia="x-none"/>
        </w:rPr>
        <w:t>Area sportiva Comunale in Via Tintoretto - Riqualificazione e nuovi impianti - LOTTO 1 -  Comparto 1B Spazi per attività di servizio e aggiuntivi per un importo complessivo di 237.001,95 €, di cui 2.619,11 € per oneri della sicurezza non soggetti a ribasso</w:t>
      </w: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p>
    <w:p w:rsidR="00746BEA" w:rsidRDefault="00746BEA">
      <w:pPr>
        <w:pStyle w:val="Normal"/>
        <w:tabs>
          <w:tab w:val="left" w:pos="113"/>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left="113" w:hanging="113"/>
        <w:jc w:val="both"/>
        <w:rPr>
          <w:rFonts w:ascii="Calibri" w:hAnsi="Calibri" w:cs="Calibri"/>
          <w:sz w:val="22"/>
          <w:szCs w:val="22"/>
          <w:lang w:val="x-none" w:eastAsia="x-none"/>
        </w:rPr>
      </w:pPr>
      <w:r>
        <w:rPr>
          <w:rFonts w:ascii="Calibri" w:hAnsi="Calibri" w:cs="Calibri"/>
          <w:sz w:val="22"/>
          <w:szCs w:val="22"/>
          <w:lang w:val="x-none" w:eastAsia="x-none"/>
        </w:rPr>
        <w:t xml:space="preserve">- con successivo provvedimento n._____ </w:t>
      </w:r>
      <w:proofErr w:type="spellStart"/>
      <w:r>
        <w:rPr>
          <w:rFonts w:ascii="Calibri" w:hAnsi="Calibri" w:cs="Calibri"/>
          <w:sz w:val="22"/>
          <w:szCs w:val="22"/>
          <w:lang w:val="x-none" w:eastAsia="x-none"/>
        </w:rPr>
        <w:t>del _______ la</w:t>
      </w:r>
      <w:proofErr w:type="spellEnd"/>
      <w:r>
        <w:rPr>
          <w:rFonts w:ascii="Calibri" w:hAnsi="Calibri" w:cs="Calibri"/>
          <w:sz w:val="22"/>
          <w:szCs w:val="22"/>
          <w:lang w:val="x-none" w:eastAsia="x-none"/>
        </w:rPr>
        <w:t xml:space="preserve"> stazione appaltante ha deliberato di procedere all'affidamento dei lavori mediante procedura di gara con </w:t>
      </w:r>
      <w:r w:rsidRPr="00CC61A4">
        <w:rPr>
          <w:rFonts w:ascii="Calibri" w:hAnsi="Calibri" w:cs="Calibri"/>
          <w:color w:val="FF0000"/>
          <w:sz w:val="22"/>
          <w:szCs w:val="22"/>
          <w:lang w:val="x-none" w:eastAsia="x-none"/>
        </w:rPr>
        <w:t xml:space="preserve">il criterio </w:t>
      </w:r>
      <w:r w:rsidR="00CC61A4" w:rsidRPr="00CC61A4">
        <w:rPr>
          <w:rFonts w:ascii="Calibri" w:hAnsi="Calibri" w:cs="Calibri"/>
          <w:color w:val="FF0000"/>
          <w:sz w:val="22"/>
          <w:szCs w:val="22"/>
          <w:lang w:eastAsia="x-none"/>
        </w:rPr>
        <w:t>del prezz</w:t>
      </w:r>
      <w:r w:rsidR="00FB08C1">
        <w:rPr>
          <w:rFonts w:ascii="Calibri" w:hAnsi="Calibri" w:cs="Calibri"/>
          <w:color w:val="FF0000"/>
          <w:sz w:val="22"/>
          <w:szCs w:val="22"/>
          <w:lang w:eastAsia="x-none"/>
        </w:rPr>
        <w:t>o economicamente più vantaggioso;</w:t>
      </w:r>
    </w:p>
    <w:p w:rsidR="00746BEA" w:rsidRDefault="00746BEA">
      <w:pPr>
        <w:pStyle w:val="Normal"/>
        <w:tabs>
          <w:tab w:val="left" w:pos="113"/>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left="113" w:hanging="113"/>
        <w:jc w:val="both"/>
        <w:rPr>
          <w:rFonts w:ascii="Calibri" w:hAnsi="Calibri" w:cs="Calibri"/>
          <w:sz w:val="22"/>
          <w:szCs w:val="22"/>
          <w:lang w:val="x-none" w:eastAsia="x-none"/>
        </w:rPr>
      </w:pPr>
    </w:p>
    <w:p w:rsidR="00746BEA" w:rsidRDefault="00746BEA">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13" w:hanging="113"/>
        <w:jc w:val="both"/>
        <w:rPr>
          <w:rFonts w:ascii="Calibri" w:hAnsi="Calibri" w:cs="Calibri"/>
          <w:sz w:val="22"/>
          <w:szCs w:val="22"/>
        </w:rPr>
      </w:pPr>
      <w:r>
        <w:rPr>
          <w:rFonts w:ascii="Calibri" w:hAnsi="Calibri" w:cs="Calibri"/>
          <w:sz w:val="22"/>
          <w:szCs w:val="22"/>
        </w:rPr>
        <w:t>- con provvedimento n.</w:t>
      </w:r>
      <w:r w:rsidR="0060498F">
        <w:rPr>
          <w:rFonts w:ascii="Calibri" w:hAnsi="Calibri" w:cs="Calibri"/>
          <w:sz w:val="22"/>
          <w:szCs w:val="22"/>
        </w:rPr>
        <w:t xml:space="preserve"> </w:t>
      </w:r>
      <w:r>
        <w:rPr>
          <w:rFonts w:ascii="Calibri" w:hAnsi="Calibri" w:cs="Calibri"/>
          <w:sz w:val="22"/>
          <w:szCs w:val="22"/>
        </w:rPr>
        <w:t>___ del _________, l'appalto è stato aggiudicato in via definitiva all'impresa _______________ con sede in ______________  con il ribasso del _________ % sull'importo a base d'asta di €__________ e, quindi, per un importo dei lavori da appaltare di € _______________ e di € ____________ per oneri per la sicurezza, oltre I.V.A., così come si evince dal relativo verbale di gara;</w:t>
      </w:r>
    </w:p>
    <w:p w:rsidR="00746BEA" w:rsidRDefault="00746BEA">
      <w:pPr>
        <w:tabs>
          <w:tab w:val="left" w:pos="113"/>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113" w:hanging="113"/>
        <w:jc w:val="both"/>
        <w:rPr>
          <w:rFonts w:ascii="Calibri" w:hAnsi="Calibri" w:cs="Calibri"/>
          <w:sz w:val="22"/>
          <w:szCs w:val="22"/>
        </w:rPr>
      </w:pPr>
    </w:p>
    <w:p w:rsidR="00746BEA" w:rsidRDefault="00746BEA">
      <w:pPr>
        <w:pStyle w:val="Normal"/>
        <w:tabs>
          <w:tab w:val="left" w:pos="113"/>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left="113" w:hanging="113"/>
        <w:jc w:val="both"/>
        <w:rPr>
          <w:rFonts w:ascii="Calibri" w:hAnsi="Calibri" w:cs="Calibri"/>
          <w:sz w:val="22"/>
          <w:szCs w:val="22"/>
        </w:rPr>
      </w:pPr>
      <w:r>
        <w:rPr>
          <w:rFonts w:ascii="Calibri" w:hAnsi="Calibri" w:cs="Calibri"/>
          <w:sz w:val="22"/>
          <w:szCs w:val="22"/>
        </w:rPr>
        <w:t>- il possesso dei requisiti dell'appaltatore è stato verificato positivamente, come risulta dalla nota del Responsabile del procedimento n. ________ in data ____________,</w:t>
      </w:r>
    </w:p>
    <w:p w:rsidR="00746BEA" w:rsidRDefault="00746BEA">
      <w:pPr>
        <w:pStyle w:val="Normal"/>
        <w:tabs>
          <w:tab w:val="left" w:pos="113"/>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left="113" w:hanging="113"/>
        <w:jc w:val="both"/>
        <w:rPr>
          <w:rFonts w:ascii="Calibri" w:hAnsi="Calibri" w:cs="Calibri"/>
          <w:sz w:val="22"/>
          <w:szCs w:val="22"/>
        </w:rPr>
      </w:pPr>
    </w:p>
    <w:p w:rsidR="00746BEA" w:rsidRDefault="00746BEA">
      <w:pPr>
        <w:pStyle w:val="Normal"/>
        <w:tabs>
          <w:tab w:val="left" w:pos="113"/>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left="113" w:hanging="113"/>
        <w:jc w:val="both"/>
        <w:rPr>
          <w:rFonts w:ascii="Calibri" w:hAnsi="Calibri" w:cs="Calibri"/>
          <w:sz w:val="22"/>
          <w:szCs w:val="22"/>
        </w:rPr>
      </w:pPr>
      <w:r>
        <w:rPr>
          <w:rFonts w:ascii="Calibri" w:hAnsi="Calibri" w:cs="Calibri"/>
          <w:sz w:val="22"/>
          <w:szCs w:val="22"/>
        </w:rPr>
        <w:t>- L'appaltatore ed il Responsabile del procedimento hanno dato atto nel verbale sottoscritto in data ______________, del permanere delle condizioni che consentono l'immediata esecuzione dei lavori oggetto del presente contratto.</w:t>
      </w:r>
    </w:p>
    <w:p w:rsidR="00746BEA" w:rsidRDefault="00746BEA">
      <w:pPr>
        <w:pStyle w:val="Normal"/>
        <w:tabs>
          <w:tab w:val="left" w:pos="113"/>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left="113" w:hanging="113"/>
        <w:jc w:val="both"/>
        <w:rPr>
          <w:rFonts w:ascii="Calibri" w:hAnsi="Calibri" w:cs="Calibri"/>
          <w:sz w:val="22"/>
          <w:szCs w:val="22"/>
        </w:rPr>
      </w:pPr>
    </w:p>
    <w:p w:rsidR="00746BEA" w:rsidRDefault="00746BEA">
      <w:pPr>
        <w:pStyle w:val="Normal"/>
        <w:tabs>
          <w:tab w:val="left" w:pos="113"/>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left="113" w:hanging="113"/>
        <w:jc w:val="both"/>
        <w:rPr>
          <w:rFonts w:ascii="Calibri" w:hAnsi="Calibri" w:cs="Calibri"/>
          <w:sz w:val="22"/>
          <w:szCs w:val="22"/>
        </w:rPr>
      </w:pPr>
      <w:r>
        <w:rPr>
          <w:rFonts w:ascii="Calibri" w:hAnsi="Calibri" w:cs="Calibri"/>
          <w:sz w:val="22"/>
          <w:szCs w:val="22"/>
        </w:rPr>
        <w:t>Tutto ciò premesso, le parti convengono e stipulano quanto segue:</w:t>
      </w:r>
    </w:p>
    <w:p w:rsidR="00746BEA" w:rsidRDefault="00746BEA">
      <w:pPr>
        <w:pStyle w:val="Normal"/>
        <w:tabs>
          <w:tab w:val="left" w:pos="113"/>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ind w:left="113" w:hanging="113"/>
        <w:jc w:val="both"/>
        <w:rPr>
          <w:rFonts w:ascii="Calibri" w:hAnsi="Calibri" w:cs="Calibri"/>
          <w:sz w:val="20"/>
          <w:szCs w:val="20"/>
        </w:rPr>
      </w:pPr>
    </w:p>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szCs w:val="20"/>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1 - Premessa</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lang w:val="x-none" w:eastAsia="x-none"/>
              </w:rPr>
              <w:t>La premessa è parte integrante e sostanziale del presente atto.</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2 - Oggetto del contratto</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lang w:val="x-none" w:eastAsia="x-none"/>
              </w:rPr>
            </w:pPr>
            <w:r>
              <w:rPr>
                <w:rFonts w:ascii="Calibri" w:hAnsi="Calibri" w:cs="Calibri"/>
                <w:sz w:val="22"/>
                <w:szCs w:val="22"/>
                <w:lang w:val="x-none" w:eastAsia="x-none"/>
              </w:rPr>
              <w:t>La stazione appaltante, come sopra rappresentata, in virtù degli atti in premessa citati, concede all'appaltatore, che come sopra rappresentato, accetta senza riserva alcuna, l'appalto per l'esecuzione dei lavori.</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lang w:val="x-none" w:eastAsia="x-none"/>
              </w:rPr>
            </w:pPr>
            <w:r>
              <w:rPr>
                <w:rFonts w:ascii="Calibri" w:hAnsi="Calibri" w:cs="Calibri"/>
                <w:sz w:val="22"/>
                <w:szCs w:val="22"/>
                <w:lang w:val="x-none" w:eastAsia="x-none"/>
              </w:rPr>
              <w:t>2.</w:t>
            </w:r>
          </w:p>
        </w:tc>
        <w:tc>
          <w:tcPr>
            <w:tcW w:w="9540" w:type="dxa"/>
            <w:tcBorders>
              <w:top w:val="nil"/>
              <w:left w:val="nil"/>
              <w:bottom w:val="nil"/>
              <w:right w:val="nil"/>
            </w:tcBorders>
          </w:tcPr>
          <w:p w:rsidR="00746BEA" w:rsidRDefault="00746BEA">
            <w:pPr>
              <w:jc w:val="both"/>
              <w:rPr>
                <w:rFonts w:ascii="Calibri" w:hAnsi="Calibri" w:cs="Calibri"/>
                <w:sz w:val="22"/>
                <w:szCs w:val="22"/>
                <w:lang w:val="x-none" w:eastAsia="x-none"/>
              </w:rPr>
            </w:pPr>
            <w:r>
              <w:rPr>
                <w:rFonts w:ascii="Calibri" w:hAnsi="Calibri" w:cs="Calibri"/>
                <w:sz w:val="22"/>
                <w:szCs w:val="22"/>
                <w:lang w:val="x-none" w:eastAsia="x-none"/>
              </w:rPr>
              <w:t>Ai fini della tracciabilità dei flussi finanziari, ai sensi dell'art. 3 comma 5 della Legge n. 136/2010, per ciascuna transazione posta in essere dalla stazione appaltante e tutti gli altri soggetti indicati al comma 1 del medesimo articolo si farà riferimento ai seguenti codici:</w:t>
            </w:r>
          </w:p>
          <w:p w:rsidR="00746BEA" w:rsidRDefault="00746BEA">
            <w:pPr>
              <w:jc w:val="both"/>
              <w:rPr>
                <w:rFonts w:ascii="Calibri" w:hAnsi="Calibri" w:cs="Calibri"/>
                <w:sz w:val="22"/>
                <w:szCs w:val="22"/>
                <w:lang w:val="x-none" w:eastAsia="x-none"/>
              </w:rPr>
            </w:pPr>
            <w:r>
              <w:rPr>
                <w:rFonts w:ascii="Calibri" w:hAnsi="Calibri" w:cs="Calibri"/>
                <w:sz w:val="22"/>
                <w:szCs w:val="22"/>
                <w:lang w:val="x-none" w:eastAsia="x-none"/>
              </w:rPr>
              <w:t xml:space="preserve"> - Codice identificativo gara (CIG): </w:t>
            </w:r>
          </w:p>
          <w:p w:rsidR="00746BEA" w:rsidRDefault="00746BEA">
            <w:pPr>
              <w:jc w:val="both"/>
              <w:rPr>
                <w:rFonts w:ascii="Calibri" w:hAnsi="Calibri" w:cs="Calibri"/>
                <w:sz w:val="22"/>
                <w:szCs w:val="22"/>
              </w:rPr>
            </w:pPr>
            <w:r>
              <w:rPr>
                <w:rFonts w:ascii="Calibri" w:hAnsi="Calibri" w:cs="Calibri"/>
                <w:sz w:val="22"/>
                <w:szCs w:val="22"/>
                <w:lang w:val="x-none" w:eastAsia="x-none"/>
              </w:rPr>
              <w:t xml:space="preserve"> - Codice Unico di Progetto (CUP): </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3 - Ammontare dell'appalto</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8"/>
        <w:gridCol w:w="405"/>
        <w:gridCol w:w="339"/>
        <w:gridCol w:w="8793"/>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1.</w:t>
            </w:r>
          </w:p>
        </w:tc>
        <w:tc>
          <w:tcPr>
            <w:tcW w:w="9540" w:type="dxa"/>
            <w:gridSpan w:val="4"/>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lang w:val="x-none" w:eastAsia="x-none"/>
              </w:rPr>
              <w:t>Il corrispettivo dovuto all'appaltatore</w:t>
            </w:r>
            <w:r>
              <w:rPr>
                <w:rFonts w:ascii="Calibri" w:hAnsi="Calibri" w:cs="Calibri"/>
                <w:sz w:val="22"/>
                <w:szCs w:val="22"/>
              </w:rPr>
              <w:t xml:space="preserve"> </w:t>
            </w:r>
            <w:r>
              <w:rPr>
                <w:rFonts w:ascii="Calibri" w:hAnsi="Calibri" w:cs="Calibri"/>
                <w:sz w:val="22"/>
                <w:szCs w:val="22"/>
                <w:lang w:val="x-none" w:eastAsia="x-none"/>
              </w:rPr>
              <w:t>per il pieno e perfetto adempimento del contratto,  è fissato in € ________________ comprensivo degli oneri per la sicurezza, oltre IVA nella misura di legge.</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2.</w:t>
            </w:r>
          </w:p>
        </w:tc>
        <w:tc>
          <w:tcPr>
            <w:tcW w:w="9545" w:type="dxa"/>
            <w:gridSpan w:val="4"/>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lang w:val="x-none" w:eastAsia="x-none"/>
              </w:rPr>
              <w:t>L'ammontare di cui al comma 1 è così composto:</w:t>
            </w:r>
          </w:p>
        </w:tc>
      </w:tr>
      <w:tr w:rsidR="00746BEA">
        <w:trPr>
          <w:gridBefore w:val="2"/>
          <w:wBefore w:w="374" w:type="dxa"/>
        </w:trPr>
        <w:tc>
          <w:tcPr>
            <w:tcW w:w="405"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a.</w:t>
            </w:r>
          </w:p>
        </w:tc>
        <w:tc>
          <w:tcPr>
            <w:tcW w:w="9132" w:type="dxa"/>
            <w:gridSpan w:val="2"/>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lang w:val="x-none" w:eastAsia="x-none"/>
              </w:rPr>
              <w:t>€ _______________ per lavori veri e propri, di cui:</w:t>
            </w:r>
          </w:p>
        </w:tc>
      </w:tr>
      <w:tr w:rsidR="00746BEA">
        <w:trPr>
          <w:gridBefore w:val="3"/>
          <w:wBefore w:w="779" w:type="dxa"/>
        </w:trPr>
        <w:tc>
          <w:tcPr>
            <w:tcW w:w="339"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1.</w:t>
            </w:r>
          </w:p>
        </w:tc>
        <w:tc>
          <w:tcPr>
            <w:tcW w:w="87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lang w:val="x-none" w:eastAsia="x-none"/>
              </w:rPr>
              <w:t xml:space="preserve">€ _______________  </w:t>
            </w:r>
            <w:r>
              <w:rPr>
                <w:rFonts w:ascii="Calibri" w:hAnsi="Calibri" w:cs="Calibri"/>
                <w:sz w:val="22"/>
                <w:szCs w:val="22"/>
              </w:rPr>
              <w:t xml:space="preserve">Sicurezza generale </w:t>
            </w:r>
          </w:p>
        </w:tc>
      </w:tr>
      <w:tr w:rsidR="00746BEA">
        <w:trPr>
          <w:gridBefore w:val="3"/>
          <w:wBefore w:w="779" w:type="dxa"/>
        </w:trPr>
        <w:tc>
          <w:tcPr>
            <w:tcW w:w="339"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2.</w:t>
            </w:r>
          </w:p>
        </w:tc>
        <w:tc>
          <w:tcPr>
            <w:tcW w:w="87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lang w:val="x-none" w:eastAsia="x-none"/>
              </w:rPr>
              <w:t xml:space="preserve">€ _______________ </w:t>
            </w:r>
            <w:r>
              <w:rPr>
                <w:rFonts w:ascii="Calibri" w:hAnsi="Calibri" w:cs="Calibri"/>
                <w:sz w:val="22"/>
                <w:szCs w:val="22"/>
              </w:rPr>
              <w:t>Costo del personale</w:t>
            </w:r>
          </w:p>
        </w:tc>
      </w:tr>
      <w:tr w:rsidR="00746BEA">
        <w:trPr>
          <w:gridBefore w:val="1"/>
          <w:wBefore w:w="366" w:type="dxa"/>
        </w:trPr>
        <w:tc>
          <w:tcPr>
            <w:tcW w:w="413" w:type="dxa"/>
            <w:gridSpan w:val="2"/>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lastRenderedPageBreak/>
              <w:t>b.</w:t>
            </w:r>
          </w:p>
        </w:tc>
        <w:tc>
          <w:tcPr>
            <w:tcW w:w="9132" w:type="dxa"/>
            <w:gridSpan w:val="2"/>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lang w:val="x-none" w:eastAsia="x-none"/>
              </w:rPr>
              <w:t xml:space="preserve">€ _______________ </w:t>
            </w:r>
            <w:r>
              <w:rPr>
                <w:rFonts w:ascii="Calibri" w:hAnsi="Calibri" w:cs="Calibri"/>
                <w:sz w:val="22"/>
                <w:szCs w:val="22"/>
              </w:rPr>
              <w:t>Sicurezza speciale per l'attuazione dei piani di sicurezza</w:t>
            </w:r>
          </w:p>
        </w:tc>
      </w:tr>
      <w:tr w:rsidR="00746BEA">
        <w:tc>
          <w:tcPr>
            <w:tcW w:w="366" w:type="dxa"/>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lang w:val="x-none" w:eastAsia="x-none"/>
              </w:rPr>
            </w:pPr>
            <w:r>
              <w:rPr>
                <w:rFonts w:ascii="Calibri" w:hAnsi="Calibri" w:cs="Calibri"/>
                <w:sz w:val="22"/>
                <w:szCs w:val="22"/>
                <w:lang w:val="x-none" w:eastAsia="x-none"/>
              </w:rPr>
              <w:t>3.</w:t>
            </w:r>
          </w:p>
        </w:tc>
        <w:tc>
          <w:tcPr>
            <w:tcW w:w="9540" w:type="dxa"/>
            <w:gridSpan w:val="4"/>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lang w:val="x-none" w:eastAsia="x-none"/>
              </w:rPr>
              <w:t>L'appalto viene affidato ed accettato senza riserva alcuna dall'appaltatore sotto l'osservanza piena, assoluta ed inscindibile delle condizioni e delle modalità di cui al capitolato speciale d'appalto e i documenti facenti parte integrante del progetto posto a base di gara che l'appaltatore dichiara di conoscere.</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4.</w:t>
            </w:r>
          </w:p>
        </w:tc>
        <w:tc>
          <w:tcPr>
            <w:tcW w:w="9540" w:type="dxa"/>
            <w:gridSpan w:val="4"/>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lang w:val="x-none" w:eastAsia="x-none"/>
              </w:rPr>
              <w:t>Il contratto è stipulato interamente "a Corpo", per cui l'importo di contratto resta fisso ed invariabile e alcuna verificazione sulla misura o sul valore attribuito alla quantità e qualità dei lavori non potrà essere invocata da nessuna delle parti contraenti.</w:t>
            </w:r>
          </w:p>
        </w:tc>
      </w:tr>
      <w:tr w:rsidR="00746BEA">
        <w:tc>
          <w:tcPr>
            <w:tcW w:w="366" w:type="dxa"/>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5.</w:t>
            </w:r>
          </w:p>
        </w:tc>
        <w:tc>
          <w:tcPr>
            <w:tcW w:w="9540" w:type="dxa"/>
            <w:gridSpan w:val="4"/>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lang w:val="x-none" w:eastAsia="x-none"/>
              </w:rPr>
              <w:t>L'Elenco dei Prezzi unitari offerti dall'appaltatore in sede di gara, mediante la lista per l'offerta eventualmente rettificata, è parte integrante del contratto. CORPO UNITARI</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4 - Categorie di lavorazioni omogenee</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sz w:val="20"/>
          <w:szCs w:val="20"/>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Times New Roman" w:hAnsi="Times New Roman" w:cs="Times New Roman"/>
              </w:rPr>
            </w:pPr>
            <w:r>
              <w:rPr>
                <w:rFonts w:ascii="Calibri" w:hAnsi="Calibri" w:cs="Calibri"/>
                <w:sz w:val="22"/>
                <w:szCs w:val="22"/>
              </w:rPr>
              <w:t>Le categorie di lavorazioni omogenee di cui all'articolo 43, commi 6, 8 e 9, del Regolamento generale, sono riportati nella seguente tabella:</w:t>
            </w:r>
          </w:p>
        </w:tc>
      </w:tr>
    </w:tbl>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Calibri" w:hAnsi="Calibri" w:cs="Calibri"/>
          <w:sz w:val="20"/>
          <w:szCs w:val="20"/>
        </w:rPr>
      </w:pPr>
    </w:p>
    <w:tbl>
      <w:tblPr>
        <w:tblW w:w="9906" w:type="dxa"/>
        <w:tblInd w:w="57" w:type="dxa"/>
        <w:tblLayout w:type="fixed"/>
        <w:tblCellMar>
          <w:left w:w="57" w:type="dxa"/>
          <w:right w:w="57" w:type="dxa"/>
        </w:tblCellMar>
        <w:tblLook w:val="0000" w:firstRow="0" w:lastRow="0" w:firstColumn="0" w:lastColumn="0" w:noHBand="0" w:noVBand="0"/>
      </w:tblPr>
      <w:tblGrid>
        <w:gridCol w:w="860"/>
        <w:gridCol w:w="4181"/>
        <w:gridCol w:w="1276"/>
        <w:gridCol w:w="1276"/>
        <w:gridCol w:w="1196"/>
        <w:gridCol w:w="1117"/>
      </w:tblGrid>
      <w:tr w:rsidR="00563029" w:rsidRPr="00563029" w:rsidTr="00AF1767">
        <w:trPr>
          <w:trHeight w:val="271"/>
          <w:tblHeader/>
        </w:trPr>
        <w:tc>
          <w:tcPr>
            <w:tcW w:w="5041" w:type="dxa"/>
            <w:gridSpan w:val="2"/>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746BEA" w:rsidRPr="00563029" w:rsidRDefault="00746BE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b/>
                <w:bCs/>
              </w:rPr>
            </w:pPr>
            <w:r w:rsidRPr="00563029">
              <w:rPr>
                <w:rFonts w:ascii="Calibri" w:hAnsi="Calibri" w:cs="Calibri"/>
                <w:b/>
                <w:bCs/>
              </w:rPr>
              <w:t>Categoria</w:t>
            </w:r>
          </w:p>
        </w:tc>
        <w:tc>
          <w:tcPr>
            <w:tcW w:w="3748" w:type="dxa"/>
            <w:gridSpan w:val="3"/>
            <w:tcBorders>
              <w:top w:val="single" w:sz="4" w:space="0" w:color="000000"/>
              <w:left w:val="single" w:sz="4" w:space="0" w:color="000000"/>
              <w:bottom w:val="single" w:sz="4" w:space="0" w:color="000000"/>
              <w:right w:val="single" w:sz="4" w:space="0" w:color="000000"/>
            </w:tcBorders>
            <w:shd w:val="clear" w:color="auto" w:fill="D9D9D9"/>
            <w:tcMar>
              <w:right w:w="10" w:type="dxa"/>
            </w:tcMar>
            <w:vAlign w:val="center"/>
          </w:tcPr>
          <w:p w:rsidR="00746BEA" w:rsidRPr="00563029"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b/>
                <w:bCs/>
              </w:rPr>
            </w:pPr>
            <w:r w:rsidRPr="00563029">
              <w:rPr>
                <w:rFonts w:ascii="Calibri" w:hAnsi="Calibri" w:cs="Calibri"/>
                <w:b/>
                <w:bCs/>
              </w:rPr>
              <w:t>Importi in euro</w:t>
            </w:r>
          </w:p>
        </w:tc>
        <w:tc>
          <w:tcPr>
            <w:tcW w:w="1117" w:type="dxa"/>
            <w:vMerge w:val="restart"/>
            <w:tcBorders>
              <w:top w:val="single" w:sz="4" w:space="0" w:color="000000"/>
              <w:left w:val="single" w:sz="4" w:space="0" w:color="000000"/>
              <w:bottom w:val="single" w:sz="4" w:space="0" w:color="000000"/>
              <w:right w:val="single" w:sz="4" w:space="0" w:color="000000"/>
            </w:tcBorders>
            <w:shd w:val="clear" w:color="auto" w:fill="D9D9D9"/>
            <w:vAlign w:val="center"/>
          </w:tcPr>
          <w:p w:rsidR="00746BEA" w:rsidRPr="00563029"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b/>
                <w:bCs/>
              </w:rPr>
            </w:pPr>
            <w:r w:rsidRPr="00563029">
              <w:rPr>
                <w:rFonts w:ascii="Calibri" w:hAnsi="Calibri" w:cs="Calibri"/>
                <w:b/>
                <w:bCs/>
              </w:rPr>
              <w:t>Incidenza su Totale</w:t>
            </w:r>
          </w:p>
        </w:tc>
      </w:tr>
      <w:tr w:rsidR="00563029" w:rsidRPr="00563029" w:rsidTr="00E66603">
        <w:trPr>
          <w:trHeight w:val="70"/>
          <w:tblHeader/>
        </w:trPr>
        <w:tc>
          <w:tcPr>
            <w:tcW w:w="5041" w:type="dxa"/>
            <w:gridSpan w:val="2"/>
            <w:vMerge/>
            <w:tcBorders>
              <w:top w:val="nil"/>
              <w:left w:val="single" w:sz="4" w:space="0" w:color="000000"/>
              <w:bottom w:val="single" w:sz="4" w:space="0" w:color="auto"/>
              <w:right w:val="single" w:sz="4" w:space="0" w:color="000000"/>
            </w:tcBorders>
            <w:shd w:val="clear" w:color="auto" w:fill="D9D9D9"/>
            <w:vAlign w:val="center"/>
          </w:tcPr>
          <w:p w:rsidR="00746BEA" w:rsidRPr="00563029" w:rsidRDefault="00746BEA">
            <w:pPr>
              <w:widowControl w:val="0"/>
              <w:rPr>
                <w:rFonts w:ascii="Calibri" w:hAnsi="Calibri" w:cs="Calibri"/>
                <w:b/>
                <w:bCs/>
              </w:rPr>
            </w:pPr>
          </w:p>
        </w:tc>
        <w:tc>
          <w:tcPr>
            <w:tcW w:w="1276" w:type="dxa"/>
            <w:tcBorders>
              <w:top w:val="single" w:sz="4" w:space="0" w:color="000000"/>
              <w:left w:val="single" w:sz="4" w:space="0" w:color="000000"/>
              <w:bottom w:val="single" w:sz="4" w:space="0" w:color="auto"/>
              <w:right w:val="nil"/>
            </w:tcBorders>
            <w:shd w:val="clear" w:color="auto" w:fill="D9D9D9"/>
            <w:tcMar>
              <w:right w:w="0" w:type="dxa"/>
            </w:tcMar>
            <w:vAlign w:val="center"/>
          </w:tcPr>
          <w:p w:rsidR="00746BEA" w:rsidRPr="00563029"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b/>
                <w:bCs/>
              </w:rPr>
            </w:pPr>
            <w:r w:rsidRPr="00563029">
              <w:rPr>
                <w:rFonts w:ascii="Calibri" w:hAnsi="Calibri" w:cs="Calibri"/>
                <w:b/>
                <w:bCs/>
              </w:rPr>
              <w:t>Lavori</w:t>
            </w:r>
          </w:p>
        </w:tc>
        <w:tc>
          <w:tcPr>
            <w:tcW w:w="1276" w:type="dxa"/>
            <w:tcBorders>
              <w:top w:val="single" w:sz="4" w:space="0" w:color="000000"/>
              <w:left w:val="single" w:sz="4" w:space="0" w:color="000000"/>
              <w:bottom w:val="single" w:sz="4" w:space="0" w:color="auto"/>
              <w:right w:val="nil"/>
            </w:tcBorders>
            <w:shd w:val="clear" w:color="auto" w:fill="D9D9D9"/>
            <w:vAlign w:val="center"/>
          </w:tcPr>
          <w:p w:rsidR="00746BEA" w:rsidRPr="00563029"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b/>
                <w:bCs/>
              </w:rPr>
            </w:pPr>
            <w:r w:rsidRPr="00563029">
              <w:rPr>
                <w:rFonts w:ascii="Calibri" w:hAnsi="Calibri" w:cs="Calibri"/>
                <w:b/>
                <w:bCs/>
              </w:rPr>
              <w:t>Sicurezza del PSC</w:t>
            </w:r>
          </w:p>
        </w:tc>
        <w:tc>
          <w:tcPr>
            <w:tcW w:w="1196" w:type="dxa"/>
            <w:tcBorders>
              <w:top w:val="single" w:sz="4" w:space="0" w:color="000000"/>
              <w:left w:val="single" w:sz="4" w:space="0" w:color="000000"/>
              <w:bottom w:val="single" w:sz="4" w:space="0" w:color="auto"/>
              <w:right w:val="nil"/>
            </w:tcBorders>
            <w:shd w:val="clear" w:color="auto" w:fill="D9D9D9"/>
            <w:vAlign w:val="center"/>
          </w:tcPr>
          <w:p w:rsidR="00746BEA" w:rsidRPr="00563029"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b/>
                <w:bCs/>
              </w:rPr>
            </w:pPr>
            <w:r w:rsidRPr="00563029">
              <w:rPr>
                <w:rFonts w:ascii="Calibri" w:hAnsi="Calibri" w:cs="Calibri"/>
                <w:b/>
                <w:bCs/>
              </w:rPr>
              <w:t>Totale</w:t>
            </w:r>
          </w:p>
        </w:tc>
        <w:tc>
          <w:tcPr>
            <w:tcW w:w="1117" w:type="dxa"/>
            <w:vMerge/>
            <w:tcBorders>
              <w:top w:val="nil"/>
              <w:left w:val="single" w:sz="4" w:space="0" w:color="000000"/>
              <w:bottom w:val="single" w:sz="4" w:space="0" w:color="auto"/>
              <w:right w:val="single" w:sz="4" w:space="0" w:color="000000"/>
            </w:tcBorders>
            <w:shd w:val="clear" w:color="auto" w:fill="D9D9D9"/>
            <w:vAlign w:val="center"/>
          </w:tcPr>
          <w:p w:rsidR="00746BEA" w:rsidRPr="00563029" w:rsidRDefault="00746BEA">
            <w:pPr>
              <w:widowControl w:val="0"/>
              <w:rPr>
                <w:rFonts w:ascii="Calibri" w:hAnsi="Calibri" w:cs="Calibri"/>
                <w:b/>
                <w:bCs/>
              </w:rPr>
            </w:pPr>
          </w:p>
        </w:tc>
      </w:tr>
      <w:tr w:rsidR="00640B71" w:rsidRPr="00640B71" w:rsidTr="00E66603">
        <w:tblPrEx>
          <w:tblCellMar>
            <w:left w:w="108" w:type="dxa"/>
            <w:right w:w="108" w:type="dxa"/>
          </w:tblCellMar>
        </w:tblPrEx>
        <w:trPr>
          <w:trHeight w:val="390"/>
        </w:trPr>
        <w:tc>
          <w:tcPr>
            <w:tcW w:w="860" w:type="dxa"/>
            <w:tcBorders>
              <w:top w:val="single" w:sz="4" w:space="0" w:color="auto"/>
              <w:left w:val="single" w:sz="4" w:space="0" w:color="auto"/>
              <w:bottom w:val="nil"/>
              <w:right w:val="single" w:sz="4" w:space="0" w:color="000000"/>
            </w:tcBorders>
            <w:vAlign w:val="center"/>
          </w:tcPr>
          <w:p w:rsidR="00746BEA" w:rsidRPr="00640B71"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b/>
                <w:bCs/>
                <w:sz w:val="22"/>
                <w:szCs w:val="22"/>
                <w:u w:val="single"/>
              </w:rPr>
            </w:pPr>
          </w:p>
        </w:tc>
        <w:tc>
          <w:tcPr>
            <w:tcW w:w="4181" w:type="dxa"/>
            <w:tcBorders>
              <w:top w:val="single" w:sz="4" w:space="0" w:color="auto"/>
              <w:left w:val="single" w:sz="4" w:space="0" w:color="000000"/>
              <w:bottom w:val="nil"/>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color w:val="FF0000"/>
              </w:rPr>
            </w:pPr>
            <w:r w:rsidRPr="00432EAB">
              <w:rPr>
                <w:rFonts w:ascii="Calibri" w:hAnsi="Calibri" w:cs="Calibri"/>
                <w:b/>
                <w:bCs/>
                <w:color w:val="FF0000"/>
                <w:sz w:val="22"/>
                <w:szCs w:val="22"/>
                <w:u w:val="single"/>
              </w:rPr>
              <w:t>LAVORI A CORPO</w:t>
            </w:r>
          </w:p>
        </w:tc>
        <w:tc>
          <w:tcPr>
            <w:tcW w:w="1276" w:type="dxa"/>
            <w:tcBorders>
              <w:top w:val="single" w:sz="4" w:space="0" w:color="auto"/>
              <w:left w:val="single" w:sz="4" w:space="0" w:color="000000"/>
              <w:bottom w:val="nil"/>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color w:val="FF0000"/>
              </w:rPr>
            </w:pPr>
          </w:p>
        </w:tc>
        <w:tc>
          <w:tcPr>
            <w:tcW w:w="1276" w:type="dxa"/>
            <w:tcBorders>
              <w:top w:val="single" w:sz="4" w:space="0" w:color="auto"/>
              <w:left w:val="single" w:sz="4" w:space="0" w:color="000000"/>
              <w:bottom w:val="nil"/>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color w:val="FF0000"/>
              </w:rPr>
            </w:pPr>
          </w:p>
        </w:tc>
        <w:tc>
          <w:tcPr>
            <w:tcW w:w="1196" w:type="dxa"/>
            <w:tcBorders>
              <w:top w:val="single" w:sz="4" w:space="0" w:color="auto"/>
              <w:left w:val="single" w:sz="4" w:space="0" w:color="000000"/>
              <w:bottom w:val="nil"/>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color w:val="FF0000"/>
              </w:rPr>
            </w:pPr>
          </w:p>
        </w:tc>
        <w:tc>
          <w:tcPr>
            <w:tcW w:w="1117" w:type="dxa"/>
            <w:tcBorders>
              <w:top w:val="single" w:sz="4" w:space="0" w:color="auto"/>
              <w:left w:val="single" w:sz="4" w:space="0" w:color="000000"/>
              <w:bottom w:val="nil"/>
              <w:right w:val="single" w:sz="4" w:space="0" w:color="auto"/>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Calibri" w:hAnsi="Calibri" w:cs="Calibri"/>
                <w:color w:val="FF0000"/>
              </w:rPr>
            </w:pPr>
          </w:p>
        </w:tc>
      </w:tr>
      <w:tr w:rsidR="00640B71" w:rsidRPr="00640B71" w:rsidTr="00E66603">
        <w:tblPrEx>
          <w:tblCellMar>
            <w:left w:w="108" w:type="dxa"/>
            <w:right w:w="108" w:type="dxa"/>
          </w:tblCellMar>
        </w:tblPrEx>
        <w:tc>
          <w:tcPr>
            <w:tcW w:w="860" w:type="dxa"/>
            <w:tcBorders>
              <w:top w:val="nil"/>
              <w:left w:val="single" w:sz="4" w:space="0" w:color="auto"/>
              <w:bottom w:val="nil"/>
              <w:right w:val="single" w:sz="4" w:space="0" w:color="000000"/>
            </w:tcBorders>
          </w:tcPr>
          <w:p w:rsidR="00746BEA" w:rsidRPr="00640B71" w:rsidRDefault="00214C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sz w:val="18"/>
                <w:szCs w:val="18"/>
              </w:rPr>
            </w:pPr>
            <w:r w:rsidRPr="00640B71">
              <w:rPr>
                <w:rFonts w:ascii="Arial" w:hAnsi="Arial" w:cs="Arial"/>
                <w:b/>
                <w:bCs/>
                <w:sz w:val="18"/>
                <w:szCs w:val="18"/>
              </w:rPr>
              <w:t>OG1</w:t>
            </w:r>
          </w:p>
        </w:tc>
        <w:tc>
          <w:tcPr>
            <w:tcW w:w="4181" w:type="dxa"/>
            <w:tcBorders>
              <w:top w:val="nil"/>
              <w:left w:val="single" w:sz="4" w:space="0" w:color="000000"/>
              <w:bottom w:val="nil"/>
              <w:right w:val="single" w:sz="4" w:space="0" w:color="000000"/>
            </w:tcBorders>
            <w:vAlign w:val="center"/>
          </w:tcPr>
          <w:p w:rsidR="00746BEA" w:rsidRPr="00432EAB" w:rsidRDefault="00704274" w:rsidP="00214C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b/>
                <w:bCs/>
                <w:color w:val="FF0000"/>
                <w:sz w:val="18"/>
                <w:szCs w:val="18"/>
              </w:rPr>
            </w:pPr>
            <w:r w:rsidRPr="00432EAB">
              <w:rPr>
                <w:rFonts w:ascii="Arial" w:hAnsi="Arial" w:cs="Arial"/>
                <w:b/>
                <w:bCs/>
                <w:color w:val="FF0000"/>
                <w:sz w:val="18"/>
                <w:szCs w:val="18"/>
              </w:rPr>
              <w:t>EDIFICI CIVILI E INDUSTRIALI</w:t>
            </w:r>
            <w:r w:rsidRPr="00432EAB">
              <w:rPr>
                <w:rFonts w:ascii="Arial" w:hAnsi="Arial" w:cs="Arial"/>
                <w:b/>
                <w:bCs/>
                <w:color w:val="FF0000"/>
                <w:sz w:val="18"/>
                <w:szCs w:val="18"/>
              </w:rPr>
              <w:t xml:space="preserve"> </w:t>
            </w:r>
            <w:r w:rsidR="00246B09" w:rsidRPr="00432EAB">
              <w:rPr>
                <w:rFonts w:ascii="Arial" w:hAnsi="Arial" w:cs="Arial"/>
                <w:b/>
                <w:bCs/>
                <w:color w:val="FF0000"/>
                <w:sz w:val="18"/>
                <w:szCs w:val="18"/>
              </w:rPr>
              <w:t>-</w:t>
            </w:r>
          </w:p>
        </w:tc>
        <w:tc>
          <w:tcPr>
            <w:tcW w:w="1276" w:type="dxa"/>
            <w:tcBorders>
              <w:top w:val="nil"/>
              <w:left w:val="single" w:sz="4" w:space="0" w:color="000000"/>
              <w:bottom w:val="nil"/>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p>
        </w:tc>
        <w:tc>
          <w:tcPr>
            <w:tcW w:w="1276" w:type="dxa"/>
            <w:tcBorders>
              <w:top w:val="nil"/>
              <w:left w:val="single" w:sz="4" w:space="0" w:color="000000"/>
              <w:bottom w:val="nil"/>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p>
        </w:tc>
        <w:tc>
          <w:tcPr>
            <w:tcW w:w="1196" w:type="dxa"/>
            <w:tcBorders>
              <w:top w:val="nil"/>
              <w:left w:val="single" w:sz="4" w:space="0" w:color="000000"/>
              <w:bottom w:val="nil"/>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p>
        </w:tc>
        <w:tc>
          <w:tcPr>
            <w:tcW w:w="1117" w:type="dxa"/>
            <w:tcBorders>
              <w:top w:val="nil"/>
              <w:left w:val="single" w:sz="4" w:space="0" w:color="000000"/>
              <w:bottom w:val="nil"/>
              <w:right w:val="single" w:sz="4" w:space="0" w:color="auto"/>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p>
        </w:tc>
      </w:tr>
      <w:tr w:rsidR="00640B71" w:rsidRPr="00640B71" w:rsidTr="00E66603">
        <w:tblPrEx>
          <w:tblCellMar>
            <w:left w:w="108" w:type="dxa"/>
            <w:right w:w="108" w:type="dxa"/>
          </w:tblCellMar>
        </w:tblPrEx>
        <w:tc>
          <w:tcPr>
            <w:tcW w:w="860" w:type="dxa"/>
            <w:tcBorders>
              <w:top w:val="nil"/>
              <w:left w:val="single" w:sz="4" w:space="0" w:color="auto"/>
              <w:bottom w:val="nil"/>
              <w:right w:val="single" w:sz="4" w:space="0" w:color="000000"/>
            </w:tcBorders>
            <w:vAlign w:val="center"/>
          </w:tcPr>
          <w:p w:rsidR="00640B71" w:rsidRPr="00640B71"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i/>
                <w:iCs/>
                <w:sz w:val="18"/>
                <w:szCs w:val="18"/>
              </w:rPr>
            </w:pPr>
          </w:p>
        </w:tc>
        <w:tc>
          <w:tcPr>
            <w:tcW w:w="4181" w:type="dxa"/>
            <w:tcBorders>
              <w:top w:val="nil"/>
              <w:left w:val="single" w:sz="4" w:space="0" w:color="000000"/>
              <w:bottom w:val="nil"/>
              <w:right w:val="single" w:sz="4" w:space="0" w:color="000000"/>
            </w:tcBorders>
            <w:tcMar>
              <w:left w:w="113" w:type="dxa"/>
              <w:right w:w="113" w:type="dxa"/>
            </w:tcMar>
            <w:vAlign w:val="center"/>
          </w:tcPr>
          <w:p w:rsidR="00640B71" w:rsidRPr="00432EAB" w:rsidRDefault="00640B71" w:rsidP="007C7C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color w:val="FF0000"/>
                <w:sz w:val="18"/>
                <w:szCs w:val="18"/>
              </w:rPr>
            </w:pPr>
            <w:r w:rsidRPr="00432EAB">
              <w:rPr>
                <w:rFonts w:ascii="Arial" w:hAnsi="Arial" w:cs="Arial"/>
                <w:i/>
                <w:iCs/>
                <w:color w:val="FF0000"/>
                <w:sz w:val="18"/>
                <w:szCs w:val="18"/>
              </w:rPr>
              <w:t>moduli prefabbricati completi di impiantistica</w:t>
            </w:r>
          </w:p>
        </w:tc>
        <w:tc>
          <w:tcPr>
            <w:tcW w:w="127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r w:rsidRPr="00432EAB">
              <w:rPr>
                <w:rFonts w:ascii="Arial" w:hAnsi="Arial" w:cs="Arial"/>
                <w:color w:val="FF0000"/>
                <w:sz w:val="18"/>
                <w:szCs w:val="18"/>
              </w:rPr>
              <w:t>212.000,00</w:t>
            </w:r>
          </w:p>
        </w:tc>
        <w:tc>
          <w:tcPr>
            <w:tcW w:w="127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2.368,99</w:t>
            </w:r>
          </w:p>
        </w:tc>
        <w:tc>
          <w:tcPr>
            <w:tcW w:w="119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212.000,00</w:t>
            </w:r>
          </w:p>
        </w:tc>
        <w:tc>
          <w:tcPr>
            <w:tcW w:w="1117" w:type="dxa"/>
            <w:tcBorders>
              <w:top w:val="nil"/>
              <w:left w:val="single" w:sz="4" w:space="0" w:color="000000"/>
              <w:bottom w:val="nil"/>
              <w:right w:val="single" w:sz="4" w:space="0" w:color="auto"/>
            </w:tcBorders>
            <w:vAlign w:val="center"/>
          </w:tcPr>
          <w:p w:rsidR="00640B71" w:rsidRPr="00432EAB" w:rsidRDefault="00640B71" w:rsidP="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90,45%</w:t>
            </w:r>
          </w:p>
        </w:tc>
      </w:tr>
      <w:tr w:rsidR="00640B71" w:rsidRPr="00640B71" w:rsidTr="00E66603">
        <w:tblPrEx>
          <w:tblCellMar>
            <w:left w:w="108" w:type="dxa"/>
            <w:right w:w="108" w:type="dxa"/>
          </w:tblCellMar>
        </w:tblPrEx>
        <w:tc>
          <w:tcPr>
            <w:tcW w:w="860" w:type="dxa"/>
            <w:tcBorders>
              <w:top w:val="nil"/>
              <w:left w:val="single" w:sz="4" w:space="0" w:color="auto"/>
              <w:bottom w:val="nil"/>
              <w:right w:val="single" w:sz="4" w:space="0" w:color="000000"/>
            </w:tcBorders>
            <w:vAlign w:val="center"/>
          </w:tcPr>
          <w:p w:rsidR="00640B71" w:rsidRPr="00640B71"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i/>
                <w:iCs/>
                <w:sz w:val="18"/>
                <w:szCs w:val="18"/>
              </w:rPr>
            </w:pPr>
          </w:p>
        </w:tc>
        <w:tc>
          <w:tcPr>
            <w:tcW w:w="4181" w:type="dxa"/>
            <w:tcBorders>
              <w:top w:val="nil"/>
              <w:left w:val="single" w:sz="4" w:space="0" w:color="000000"/>
              <w:bottom w:val="nil"/>
              <w:right w:val="single" w:sz="4" w:space="0" w:color="000000"/>
            </w:tcBorders>
            <w:tcMar>
              <w:left w:w="113" w:type="dxa"/>
              <w:right w:w="113" w:type="dxa"/>
            </w:tcMar>
            <w:vAlign w:val="center"/>
          </w:tcPr>
          <w:p w:rsidR="00640B71" w:rsidRPr="00432EAB" w:rsidRDefault="00640B71" w:rsidP="007C7C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color w:val="FF0000"/>
                <w:sz w:val="18"/>
                <w:szCs w:val="18"/>
              </w:rPr>
            </w:pPr>
            <w:r w:rsidRPr="00432EAB">
              <w:rPr>
                <w:rFonts w:ascii="Arial" w:hAnsi="Arial" w:cs="Arial"/>
                <w:i/>
                <w:iCs/>
                <w:color w:val="FF0000"/>
                <w:sz w:val="18"/>
                <w:szCs w:val="18"/>
              </w:rPr>
              <w:t>Scavi e movimenti terra</w:t>
            </w:r>
          </w:p>
        </w:tc>
        <w:tc>
          <w:tcPr>
            <w:tcW w:w="127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r w:rsidRPr="00432EAB">
              <w:rPr>
                <w:rFonts w:ascii="Arial" w:hAnsi="Arial" w:cs="Arial"/>
                <w:color w:val="FF0000"/>
                <w:sz w:val="18"/>
                <w:szCs w:val="18"/>
              </w:rPr>
              <w:t>5.208,76</w:t>
            </w:r>
          </w:p>
        </w:tc>
        <w:tc>
          <w:tcPr>
            <w:tcW w:w="127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58,21</w:t>
            </w:r>
          </w:p>
        </w:tc>
        <w:tc>
          <w:tcPr>
            <w:tcW w:w="119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5.208,76</w:t>
            </w:r>
          </w:p>
        </w:tc>
        <w:tc>
          <w:tcPr>
            <w:tcW w:w="1117" w:type="dxa"/>
            <w:tcBorders>
              <w:top w:val="nil"/>
              <w:left w:val="single" w:sz="4" w:space="0" w:color="000000"/>
              <w:bottom w:val="nil"/>
              <w:right w:val="single" w:sz="4" w:space="0" w:color="auto"/>
            </w:tcBorders>
            <w:vAlign w:val="center"/>
          </w:tcPr>
          <w:p w:rsidR="00640B71" w:rsidRPr="00432EAB" w:rsidRDefault="00640B71" w:rsidP="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2,22%</w:t>
            </w:r>
          </w:p>
        </w:tc>
      </w:tr>
      <w:tr w:rsidR="00640B71" w:rsidRPr="00640B71" w:rsidTr="00E66603">
        <w:tblPrEx>
          <w:tblCellMar>
            <w:left w:w="108" w:type="dxa"/>
            <w:right w:w="108" w:type="dxa"/>
          </w:tblCellMar>
        </w:tblPrEx>
        <w:tc>
          <w:tcPr>
            <w:tcW w:w="860" w:type="dxa"/>
            <w:tcBorders>
              <w:top w:val="nil"/>
              <w:left w:val="single" w:sz="4" w:space="0" w:color="auto"/>
              <w:bottom w:val="nil"/>
              <w:right w:val="single" w:sz="4" w:space="0" w:color="000000"/>
            </w:tcBorders>
            <w:vAlign w:val="center"/>
          </w:tcPr>
          <w:p w:rsidR="00640B71" w:rsidRPr="00640B71"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i/>
                <w:iCs/>
                <w:sz w:val="18"/>
                <w:szCs w:val="18"/>
              </w:rPr>
            </w:pPr>
          </w:p>
        </w:tc>
        <w:tc>
          <w:tcPr>
            <w:tcW w:w="4181" w:type="dxa"/>
            <w:tcBorders>
              <w:top w:val="nil"/>
              <w:left w:val="single" w:sz="4" w:space="0" w:color="000000"/>
              <w:bottom w:val="nil"/>
              <w:right w:val="single" w:sz="4" w:space="0" w:color="000000"/>
            </w:tcBorders>
            <w:tcMar>
              <w:left w:w="113" w:type="dxa"/>
              <w:right w:w="113" w:type="dxa"/>
            </w:tcMar>
            <w:vAlign w:val="center"/>
          </w:tcPr>
          <w:p w:rsidR="00640B71" w:rsidRPr="00432EAB" w:rsidRDefault="00640B71" w:rsidP="007C7C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color w:val="FF0000"/>
                <w:sz w:val="18"/>
                <w:szCs w:val="18"/>
              </w:rPr>
            </w:pPr>
            <w:r w:rsidRPr="00432EAB">
              <w:rPr>
                <w:rFonts w:ascii="Arial" w:hAnsi="Arial" w:cs="Arial"/>
                <w:i/>
                <w:iCs/>
                <w:color w:val="FF0000"/>
                <w:sz w:val="18"/>
                <w:szCs w:val="18"/>
              </w:rPr>
              <w:t>Opere fognarie</w:t>
            </w:r>
          </w:p>
        </w:tc>
        <w:tc>
          <w:tcPr>
            <w:tcW w:w="127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r w:rsidRPr="00432EAB">
              <w:rPr>
                <w:rFonts w:ascii="Arial" w:hAnsi="Arial" w:cs="Arial"/>
                <w:color w:val="FF0000"/>
                <w:sz w:val="18"/>
                <w:szCs w:val="18"/>
              </w:rPr>
              <w:t>4.000,01</w:t>
            </w:r>
          </w:p>
        </w:tc>
        <w:tc>
          <w:tcPr>
            <w:tcW w:w="127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44,70</w:t>
            </w:r>
          </w:p>
        </w:tc>
        <w:tc>
          <w:tcPr>
            <w:tcW w:w="119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4.000,01</w:t>
            </w:r>
          </w:p>
        </w:tc>
        <w:tc>
          <w:tcPr>
            <w:tcW w:w="1117" w:type="dxa"/>
            <w:tcBorders>
              <w:top w:val="nil"/>
              <w:left w:val="single" w:sz="4" w:space="0" w:color="000000"/>
              <w:bottom w:val="nil"/>
              <w:right w:val="single" w:sz="4" w:space="0" w:color="auto"/>
            </w:tcBorders>
            <w:vAlign w:val="center"/>
          </w:tcPr>
          <w:p w:rsidR="00640B71" w:rsidRPr="00432EAB" w:rsidRDefault="00640B71" w:rsidP="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1,71%</w:t>
            </w:r>
          </w:p>
        </w:tc>
      </w:tr>
      <w:tr w:rsidR="00640B71" w:rsidRPr="00640B71" w:rsidTr="00E66603">
        <w:tblPrEx>
          <w:tblCellMar>
            <w:left w:w="108" w:type="dxa"/>
            <w:right w:w="108" w:type="dxa"/>
          </w:tblCellMar>
        </w:tblPrEx>
        <w:tc>
          <w:tcPr>
            <w:tcW w:w="860" w:type="dxa"/>
            <w:tcBorders>
              <w:top w:val="nil"/>
              <w:left w:val="single" w:sz="4" w:space="0" w:color="auto"/>
              <w:bottom w:val="nil"/>
              <w:right w:val="single" w:sz="4" w:space="0" w:color="000000"/>
            </w:tcBorders>
            <w:vAlign w:val="center"/>
          </w:tcPr>
          <w:p w:rsidR="00640B71" w:rsidRPr="00640B71"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i/>
                <w:iCs/>
                <w:sz w:val="18"/>
                <w:szCs w:val="18"/>
              </w:rPr>
            </w:pPr>
          </w:p>
        </w:tc>
        <w:tc>
          <w:tcPr>
            <w:tcW w:w="4181" w:type="dxa"/>
            <w:tcBorders>
              <w:top w:val="nil"/>
              <w:left w:val="single" w:sz="4" w:space="0" w:color="000000"/>
              <w:bottom w:val="nil"/>
              <w:right w:val="single" w:sz="4" w:space="0" w:color="000000"/>
            </w:tcBorders>
            <w:tcMar>
              <w:left w:w="113" w:type="dxa"/>
              <w:right w:w="113" w:type="dxa"/>
            </w:tcMar>
            <w:vAlign w:val="center"/>
          </w:tcPr>
          <w:p w:rsidR="00640B71" w:rsidRPr="00432EAB" w:rsidRDefault="00640B71" w:rsidP="007C7C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color w:val="FF0000"/>
                <w:sz w:val="18"/>
                <w:szCs w:val="18"/>
              </w:rPr>
            </w:pPr>
            <w:r w:rsidRPr="00432EAB">
              <w:rPr>
                <w:rFonts w:ascii="Arial" w:hAnsi="Arial" w:cs="Arial"/>
                <w:i/>
                <w:iCs/>
                <w:color w:val="FF0000"/>
                <w:sz w:val="18"/>
                <w:szCs w:val="18"/>
              </w:rPr>
              <w:t>Opere strutturali</w:t>
            </w:r>
          </w:p>
        </w:tc>
        <w:tc>
          <w:tcPr>
            <w:tcW w:w="127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r w:rsidRPr="00432EAB">
              <w:rPr>
                <w:rFonts w:ascii="Arial" w:hAnsi="Arial" w:cs="Arial"/>
                <w:color w:val="FF0000"/>
                <w:sz w:val="18"/>
                <w:szCs w:val="18"/>
              </w:rPr>
              <w:t>7.347,77</w:t>
            </w:r>
          </w:p>
        </w:tc>
        <w:tc>
          <w:tcPr>
            <w:tcW w:w="127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82,11</w:t>
            </w:r>
          </w:p>
        </w:tc>
        <w:tc>
          <w:tcPr>
            <w:tcW w:w="119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7347,77</w:t>
            </w:r>
          </w:p>
        </w:tc>
        <w:tc>
          <w:tcPr>
            <w:tcW w:w="1117" w:type="dxa"/>
            <w:tcBorders>
              <w:top w:val="nil"/>
              <w:left w:val="single" w:sz="4" w:space="0" w:color="000000"/>
              <w:bottom w:val="nil"/>
              <w:right w:val="single" w:sz="4" w:space="0" w:color="auto"/>
            </w:tcBorders>
            <w:vAlign w:val="center"/>
          </w:tcPr>
          <w:p w:rsidR="00640B71" w:rsidRPr="00432EAB" w:rsidRDefault="00640B71" w:rsidP="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3,13%</w:t>
            </w:r>
          </w:p>
        </w:tc>
      </w:tr>
      <w:tr w:rsidR="00640B71" w:rsidRPr="00640B71" w:rsidTr="00E66603">
        <w:tblPrEx>
          <w:tblCellMar>
            <w:left w:w="108" w:type="dxa"/>
            <w:right w:w="108" w:type="dxa"/>
          </w:tblCellMar>
        </w:tblPrEx>
        <w:tc>
          <w:tcPr>
            <w:tcW w:w="860" w:type="dxa"/>
            <w:tcBorders>
              <w:top w:val="nil"/>
              <w:left w:val="single" w:sz="4" w:space="0" w:color="auto"/>
              <w:bottom w:val="nil"/>
              <w:right w:val="single" w:sz="4" w:space="0" w:color="000000"/>
            </w:tcBorders>
            <w:vAlign w:val="center"/>
          </w:tcPr>
          <w:p w:rsidR="00640B71" w:rsidRPr="00640B71"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i/>
                <w:iCs/>
                <w:sz w:val="18"/>
                <w:szCs w:val="18"/>
              </w:rPr>
            </w:pPr>
          </w:p>
        </w:tc>
        <w:tc>
          <w:tcPr>
            <w:tcW w:w="4181" w:type="dxa"/>
            <w:tcBorders>
              <w:top w:val="nil"/>
              <w:left w:val="single" w:sz="4" w:space="0" w:color="000000"/>
              <w:bottom w:val="nil"/>
              <w:right w:val="single" w:sz="4" w:space="0" w:color="000000"/>
            </w:tcBorders>
            <w:tcMar>
              <w:left w:w="113" w:type="dxa"/>
              <w:right w:w="113" w:type="dxa"/>
            </w:tcMar>
            <w:vAlign w:val="center"/>
          </w:tcPr>
          <w:p w:rsidR="00640B71" w:rsidRPr="00432EAB" w:rsidRDefault="00640B71" w:rsidP="007C7C2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color w:val="FF0000"/>
                <w:sz w:val="18"/>
                <w:szCs w:val="18"/>
              </w:rPr>
            </w:pPr>
            <w:r w:rsidRPr="00432EAB">
              <w:rPr>
                <w:rFonts w:ascii="Arial" w:hAnsi="Arial" w:cs="Arial"/>
                <w:i/>
                <w:iCs/>
                <w:color w:val="FF0000"/>
                <w:sz w:val="18"/>
                <w:szCs w:val="18"/>
              </w:rPr>
              <w:t>Pavimentazioni esterne</w:t>
            </w:r>
          </w:p>
        </w:tc>
        <w:tc>
          <w:tcPr>
            <w:tcW w:w="127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r w:rsidRPr="00432EAB">
              <w:rPr>
                <w:rFonts w:ascii="Arial" w:hAnsi="Arial" w:cs="Arial"/>
                <w:color w:val="FF0000"/>
                <w:sz w:val="18"/>
                <w:szCs w:val="18"/>
              </w:rPr>
              <w:t>2.026,30</w:t>
            </w:r>
          </w:p>
        </w:tc>
        <w:tc>
          <w:tcPr>
            <w:tcW w:w="127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22,64</w:t>
            </w:r>
          </w:p>
        </w:tc>
        <w:tc>
          <w:tcPr>
            <w:tcW w:w="1196" w:type="dxa"/>
            <w:tcBorders>
              <w:top w:val="nil"/>
              <w:left w:val="single" w:sz="4" w:space="0" w:color="000000"/>
              <w:bottom w:val="nil"/>
              <w:right w:val="single" w:sz="4" w:space="0" w:color="000000"/>
            </w:tcBorders>
            <w:vAlign w:val="center"/>
          </w:tcPr>
          <w:p w:rsidR="00640B71" w:rsidRPr="00432EAB" w:rsidRDefault="00640B71"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2.026,30</w:t>
            </w:r>
          </w:p>
        </w:tc>
        <w:tc>
          <w:tcPr>
            <w:tcW w:w="1117" w:type="dxa"/>
            <w:tcBorders>
              <w:top w:val="nil"/>
              <w:left w:val="single" w:sz="4" w:space="0" w:color="000000"/>
              <w:bottom w:val="nil"/>
              <w:right w:val="single" w:sz="4" w:space="0" w:color="auto"/>
            </w:tcBorders>
            <w:vAlign w:val="center"/>
          </w:tcPr>
          <w:p w:rsidR="00640B71" w:rsidRPr="00432EAB" w:rsidRDefault="00640B71" w:rsidP="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0,87%</w:t>
            </w:r>
          </w:p>
        </w:tc>
      </w:tr>
      <w:tr w:rsidR="00640B71" w:rsidRPr="00640B71" w:rsidTr="00E66603">
        <w:tblPrEx>
          <w:tblCellMar>
            <w:left w:w="108" w:type="dxa"/>
            <w:right w:w="108" w:type="dxa"/>
          </w:tblCellMar>
        </w:tblPrEx>
        <w:tc>
          <w:tcPr>
            <w:tcW w:w="860" w:type="dxa"/>
            <w:tcBorders>
              <w:top w:val="nil"/>
              <w:left w:val="single" w:sz="4" w:space="0" w:color="auto"/>
              <w:bottom w:val="nil"/>
              <w:right w:val="single" w:sz="4" w:space="0" w:color="000000"/>
            </w:tcBorders>
          </w:tcPr>
          <w:p w:rsidR="00746BEA" w:rsidRPr="00640B71"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sz w:val="18"/>
                <w:szCs w:val="18"/>
              </w:rPr>
            </w:pPr>
            <w:r w:rsidRPr="00640B71">
              <w:rPr>
                <w:rFonts w:ascii="Arial" w:hAnsi="Arial" w:cs="Arial"/>
                <w:b/>
                <w:bCs/>
                <w:sz w:val="18"/>
                <w:szCs w:val="18"/>
              </w:rPr>
              <w:t>OS 24</w:t>
            </w:r>
          </w:p>
        </w:tc>
        <w:tc>
          <w:tcPr>
            <w:tcW w:w="4181" w:type="dxa"/>
            <w:tcBorders>
              <w:top w:val="nil"/>
              <w:left w:val="single" w:sz="4" w:space="0" w:color="000000"/>
              <w:bottom w:val="nil"/>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b/>
                <w:bCs/>
                <w:color w:val="FF0000"/>
                <w:sz w:val="18"/>
                <w:szCs w:val="18"/>
              </w:rPr>
            </w:pPr>
            <w:r w:rsidRPr="00432EAB">
              <w:rPr>
                <w:rFonts w:ascii="Arial" w:hAnsi="Arial" w:cs="Arial"/>
                <w:b/>
                <w:bCs/>
                <w:color w:val="FF0000"/>
                <w:sz w:val="18"/>
                <w:szCs w:val="18"/>
              </w:rPr>
              <w:t>VERDE E ARREDO URBANO</w:t>
            </w:r>
          </w:p>
        </w:tc>
        <w:tc>
          <w:tcPr>
            <w:tcW w:w="1276" w:type="dxa"/>
            <w:tcBorders>
              <w:top w:val="nil"/>
              <w:left w:val="single" w:sz="4" w:space="0" w:color="000000"/>
              <w:bottom w:val="nil"/>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p>
        </w:tc>
        <w:tc>
          <w:tcPr>
            <w:tcW w:w="1276" w:type="dxa"/>
            <w:tcBorders>
              <w:top w:val="nil"/>
              <w:left w:val="single" w:sz="4" w:space="0" w:color="000000"/>
              <w:bottom w:val="nil"/>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p>
        </w:tc>
        <w:tc>
          <w:tcPr>
            <w:tcW w:w="1196" w:type="dxa"/>
            <w:tcBorders>
              <w:top w:val="nil"/>
              <w:left w:val="single" w:sz="4" w:space="0" w:color="000000"/>
              <w:bottom w:val="nil"/>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p>
        </w:tc>
        <w:tc>
          <w:tcPr>
            <w:tcW w:w="1117" w:type="dxa"/>
            <w:tcBorders>
              <w:top w:val="nil"/>
              <w:left w:val="single" w:sz="4" w:space="0" w:color="000000"/>
              <w:bottom w:val="nil"/>
              <w:right w:val="single" w:sz="4" w:space="0" w:color="auto"/>
            </w:tcBorders>
            <w:vAlign w:val="center"/>
          </w:tcPr>
          <w:p w:rsidR="00746BEA" w:rsidRPr="00432EAB" w:rsidRDefault="00746BEA" w:rsidP="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p>
        </w:tc>
      </w:tr>
      <w:tr w:rsidR="00640B71" w:rsidRPr="00640B71" w:rsidTr="00E66603">
        <w:tblPrEx>
          <w:tblCellMar>
            <w:left w:w="108" w:type="dxa"/>
            <w:right w:w="108" w:type="dxa"/>
          </w:tblCellMar>
        </w:tblPrEx>
        <w:tc>
          <w:tcPr>
            <w:tcW w:w="860" w:type="dxa"/>
            <w:tcBorders>
              <w:top w:val="nil"/>
              <w:left w:val="single" w:sz="4" w:space="0" w:color="auto"/>
              <w:bottom w:val="nil"/>
              <w:right w:val="single" w:sz="4" w:space="0" w:color="000000"/>
            </w:tcBorders>
            <w:vAlign w:val="center"/>
          </w:tcPr>
          <w:p w:rsidR="00640B71" w:rsidRPr="00640B71" w:rsidRDefault="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i/>
                <w:iCs/>
                <w:sz w:val="18"/>
                <w:szCs w:val="18"/>
              </w:rPr>
            </w:pPr>
          </w:p>
        </w:tc>
        <w:tc>
          <w:tcPr>
            <w:tcW w:w="4181" w:type="dxa"/>
            <w:tcBorders>
              <w:top w:val="nil"/>
              <w:left w:val="single" w:sz="4" w:space="0" w:color="000000"/>
              <w:bottom w:val="nil"/>
              <w:right w:val="single" w:sz="4" w:space="0" w:color="000000"/>
            </w:tcBorders>
            <w:tcMar>
              <w:left w:w="113" w:type="dxa"/>
              <w:right w:w="113" w:type="dxa"/>
            </w:tcMar>
            <w:vAlign w:val="center"/>
          </w:tcPr>
          <w:p w:rsidR="00640B71" w:rsidRPr="00432EAB" w:rsidRDefault="00432EAB" w:rsidP="00432EA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i/>
                <w:iCs/>
                <w:color w:val="FF0000"/>
                <w:sz w:val="18"/>
                <w:szCs w:val="18"/>
              </w:rPr>
            </w:pPr>
            <w:r>
              <w:rPr>
                <w:rFonts w:ascii="Arial" w:hAnsi="Arial" w:cs="Arial"/>
                <w:i/>
                <w:iCs/>
                <w:color w:val="FF0000"/>
                <w:sz w:val="18"/>
                <w:szCs w:val="18"/>
              </w:rPr>
              <w:t>facciata verde</w:t>
            </w:r>
            <w:r w:rsidR="00640B71" w:rsidRPr="00432EAB">
              <w:rPr>
                <w:rFonts w:ascii="Arial" w:hAnsi="Arial" w:cs="Arial"/>
                <w:i/>
                <w:iCs/>
                <w:color w:val="FF0000"/>
                <w:sz w:val="18"/>
                <w:szCs w:val="18"/>
              </w:rPr>
              <w:t xml:space="preserve"> </w:t>
            </w:r>
          </w:p>
        </w:tc>
        <w:tc>
          <w:tcPr>
            <w:tcW w:w="1276" w:type="dxa"/>
            <w:tcBorders>
              <w:top w:val="nil"/>
              <w:left w:val="single" w:sz="4" w:space="0" w:color="000000"/>
              <w:bottom w:val="nil"/>
              <w:right w:val="single" w:sz="4" w:space="0" w:color="000000"/>
            </w:tcBorders>
            <w:vAlign w:val="center"/>
          </w:tcPr>
          <w:p w:rsidR="00640B71" w:rsidRPr="00432EAB" w:rsidRDefault="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r w:rsidRPr="00432EAB">
              <w:rPr>
                <w:rFonts w:ascii="Arial" w:hAnsi="Arial" w:cs="Arial"/>
                <w:color w:val="FF0000"/>
                <w:sz w:val="18"/>
                <w:szCs w:val="18"/>
              </w:rPr>
              <w:t>3.800,00</w:t>
            </w:r>
          </w:p>
        </w:tc>
        <w:tc>
          <w:tcPr>
            <w:tcW w:w="1276" w:type="dxa"/>
            <w:tcBorders>
              <w:top w:val="nil"/>
              <w:left w:val="single" w:sz="4" w:space="0" w:color="000000"/>
              <w:bottom w:val="nil"/>
              <w:right w:val="single" w:sz="4" w:space="0" w:color="000000"/>
            </w:tcBorders>
            <w:vAlign w:val="center"/>
          </w:tcPr>
          <w:p w:rsidR="00640B71" w:rsidRPr="00432EAB" w:rsidRDefault="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42,46</w:t>
            </w:r>
          </w:p>
        </w:tc>
        <w:tc>
          <w:tcPr>
            <w:tcW w:w="1196" w:type="dxa"/>
            <w:tcBorders>
              <w:top w:val="nil"/>
              <w:left w:val="single" w:sz="4" w:space="0" w:color="000000"/>
              <w:bottom w:val="nil"/>
              <w:right w:val="single" w:sz="4" w:space="0" w:color="000000"/>
            </w:tcBorders>
            <w:vAlign w:val="center"/>
          </w:tcPr>
          <w:p w:rsidR="00640B71" w:rsidRPr="00432EAB" w:rsidRDefault="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3.800,00</w:t>
            </w:r>
          </w:p>
        </w:tc>
        <w:tc>
          <w:tcPr>
            <w:tcW w:w="1117" w:type="dxa"/>
            <w:tcBorders>
              <w:top w:val="nil"/>
              <w:left w:val="single" w:sz="4" w:space="0" w:color="000000"/>
              <w:bottom w:val="single" w:sz="4" w:space="0" w:color="auto"/>
              <w:right w:val="single" w:sz="4" w:space="0" w:color="auto"/>
            </w:tcBorders>
            <w:vAlign w:val="center"/>
          </w:tcPr>
          <w:p w:rsidR="00640B71" w:rsidRPr="00432EAB" w:rsidRDefault="00640B71" w:rsidP="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Cs/>
                <w:iCs/>
                <w:color w:val="FF0000"/>
                <w:sz w:val="18"/>
                <w:szCs w:val="18"/>
              </w:rPr>
            </w:pPr>
            <w:r w:rsidRPr="00432EAB">
              <w:rPr>
                <w:rFonts w:ascii="Arial" w:hAnsi="Arial" w:cs="Arial"/>
                <w:bCs/>
                <w:iCs/>
                <w:color w:val="FF0000"/>
                <w:sz w:val="18"/>
                <w:szCs w:val="18"/>
              </w:rPr>
              <w:t>1,62%</w:t>
            </w:r>
          </w:p>
        </w:tc>
      </w:tr>
      <w:tr w:rsidR="00640B71" w:rsidRPr="00640B71" w:rsidTr="00E66603">
        <w:tblPrEx>
          <w:tblCellMar>
            <w:left w:w="108" w:type="dxa"/>
            <w:right w:w="108" w:type="dxa"/>
          </w:tblCellMar>
        </w:tblPrEx>
        <w:tc>
          <w:tcPr>
            <w:tcW w:w="860" w:type="dxa"/>
            <w:tcBorders>
              <w:top w:val="nil"/>
              <w:left w:val="single" w:sz="4" w:space="0" w:color="auto"/>
              <w:bottom w:val="single" w:sz="4" w:space="0" w:color="auto"/>
              <w:right w:val="single" w:sz="4" w:space="0" w:color="000000"/>
            </w:tcBorders>
            <w:vAlign w:val="center"/>
          </w:tcPr>
          <w:p w:rsidR="00746BEA" w:rsidRPr="00640B71"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bCs/>
                <w:sz w:val="18"/>
                <w:szCs w:val="18"/>
              </w:rPr>
            </w:pPr>
          </w:p>
        </w:tc>
        <w:tc>
          <w:tcPr>
            <w:tcW w:w="4181" w:type="dxa"/>
            <w:tcBorders>
              <w:top w:val="nil"/>
              <w:left w:val="single" w:sz="4" w:space="0" w:color="000000"/>
              <w:bottom w:val="single" w:sz="4" w:space="0" w:color="auto"/>
              <w:right w:val="single" w:sz="4" w:space="0" w:color="000000"/>
            </w:tcBorders>
            <w:vAlign w:val="center"/>
          </w:tcPr>
          <w:p w:rsidR="00746BEA" w:rsidRPr="00432EAB" w:rsidRDefault="00746BEA"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b/>
                <w:bCs/>
                <w:color w:val="FF0000"/>
                <w:sz w:val="18"/>
                <w:szCs w:val="18"/>
              </w:rPr>
            </w:pPr>
            <w:r w:rsidRPr="00432EAB">
              <w:rPr>
                <w:rFonts w:ascii="Arial" w:hAnsi="Arial" w:cs="Arial"/>
                <w:b/>
                <w:bCs/>
                <w:color w:val="FF0000"/>
                <w:sz w:val="18"/>
                <w:szCs w:val="18"/>
              </w:rPr>
              <w:t>Sommano a Corpo</w:t>
            </w:r>
          </w:p>
        </w:tc>
        <w:tc>
          <w:tcPr>
            <w:tcW w:w="1276" w:type="dxa"/>
            <w:tcBorders>
              <w:top w:val="single" w:sz="4" w:space="0" w:color="000000"/>
              <w:left w:val="single" w:sz="4" w:space="0" w:color="000000"/>
              <w:bottom w:val="single" w:sz="4" w:space="0" w:color="auto"/>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color w:val="FF0000"/>
                <w:sz w:val="18"/>
                <w:szCs w:val="18"/>
              </w:rPr>
            </w:pPr>
            <w:r w:rsidRPr="00432EAB">
              <w:rPr>
                <w:rFonts w:ascii="Arial" w:hAnsi="Arial" w:cs="Arial"/>
                <w:b/>
                <w:bCs/>
                <w:color w:val="FF0000"/>
                <w:sz w:val="18"/>
                <w:szCs w:val="18"/>
              </w:rPr>
              <w:t>234.382,84</w:t>
            </w:r>
          </w:p>
        </w:tc>
        <w:tc>
          <w:tcPr>
            <w:tcW w:w="1276" w:type="dxa"/>
            <w:tcBorders>
              <w:top w:val="single" w:sz="4" w:space="0" w:color="000000"/>
              <w:left w:val="single" w:sz="4" w:space="0" w:color="000000"/>
              <w:bottom w:val="single" w:sz="4" w:space="0" w:color="auto"/>
              <w:right w:val="single" w:sz="4" w:space="0" w:color="000000"/>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color w:val="FF0000"/>
                <w:sz w:val="18"/>
                <w:szCs w:val="18"/>
              </w:rPr>
            </w:pPr>
            <w:r w:rsidRPr="00432EAB">
              <w:rPr>
                <w:rFonts w:ascii="Arial" w:hAnsi="Arial" w:cs="Arial"/>
                <w:b/>
                <w:bCs/>
                <w:color w:val="FF0000"/>
                <w:sz w:val="18"/>
                <w:szCs w:val="18"/>
              </w:rPr>
              <w:t>2.619,11</w:t>
            </w:r>
          </w:p>
        </w:tc>
        <w:tc>
          <w:tcPr>
            <w:tcW w:w="1196" w:type="dxa"/>
            <w:tcBorders>
              <w:top w:val="single" w:sz="4" w:space="0" w:color="000000"/>
              <w:left w:val="single" w:sz="4" w:space="0" w:color="000000"/>
              <w:bottom w:val="single" w:sz="4" w:space="0" w:color="auto"/>
              <w:right w:val="single" w:sz="4" w:space="0" w:color="auto"/>
            </w:tcBorders>
            <w:vAlign w:val="center"/>
          </w:tcPr>
          <w:p w:rsidR="00746BEA" w:rsidRPr="00432EAB"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color w:val="FF0000"/>
                <w:sz w:val="18"/>
                <w:szCs w:val="18"/>
              </w:rPr>
            </w:pPr>
            <w:r w:rsidRPr="00432EAB">
              <w:rPr>
                <w:rFonts w:ascii="Arial" w:hAnsi="Arial" w:cs="Arial"/>
                <w:b/>
                <w:bCs/>
                <w:color w:val="FF0000"/>
                <w:sz w:val="18"/>
                <w:szCs w:val="18"/>
              </w:rPr>
              <w:t>237.001,95</w:t>
            </w:r>
          </w:p>
        </w:tc>
        <w:tc>
          <w:tcPr>
            <w:tcW w:w="1117" w:type="dxa"/>
            <w:tcBorders>
              <w:top w:val="single" w:sz="4" w:space="0" w:color="auto"/>
              <w:left w:val="single" w:sz="4" w:space="0" w:color="auto"/>
              <w:bottom w:val="single" w:sz="4" w:space="0" w:color="auto"/>
              <w:right w:val="single" w:sz="4" w:space="0" w:color="auto"/>
            </w:tcBorders>
            <w:vAlign w:val="center"/>
          </w:tcPr>
          <w:p w:rsidR="00746BEA" w:rsidRPr="00432EAB" w:rsidRDefault="00746BEA" w:rsidP="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Cs/>
                <w:color w:val="FF0000"/>
                <w:sz w:val="18"/>
                <w:szCs w:val="18"/>
              </w:rPr>
            </w:pPr>
            <w:r w:rsidRPr="00432EAB">
              <w:rPr>
                <w:rFonts w:ascii="Arial" w:hAnsi="Arial" w:cs="Arial"/>
                <w:bCs/>
                <w:color w:val="FF0000"/>
                <w:sz w:val="18"/>
                <w:szCs w:val="18"/>
              </w:rPr>
              <w:t>100,00%</w:t>
            </w:r>
          </w:p>
        </w:tc>
      </w:tr>
      <w:tr w:rsidR="00640B71" w:rsidRPr="00640B71" w:rsidTr="00E66603">
        <w:tblPrEx>
          <w:tblCellMar>
            <w:left w:w="108" w:type="dxa"/>
            <w:right w:w="108" w:type="dxa"/>
          </w:tblCellMar>
        </w:tblPrEx>
        <w:tc>
          <w:tcPr>
            <w:tcW w:w="9906" w:type="dxa"/>
            <w:gridSpan w:val="6"/>
            <w:tcBorders>
              <w:top w:val="single" w:sz="4" w:space="0" w:color="auto"/>
              <w:left w:val="single" w:sz="4" w:space="0" w:color="000000"/>
              <w:bottom w:val="single" w:sz="4" w:space="0" w:color="auto"/>
              <w:right w:val="single" w:sz="4" w:space="0" w:color="auto"/>
            </w:tcBorders>
            <w:vAlign w:val="center"/>
          </w:tcPr>
          <w:p w:rsidR="00640B71" w:rsidRPr="00432EAB" w:rsidRDefault="00640B71" w:rsidP="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Cs/>
                <w:color w:val="FF0000"/>
                <w:sz w:val="18"/>
                <w:szCs w:val="18"/>
              </w:rPr>
            </w:pPr>
          </w:p>
        </w:tc>
      </w:tr>
      <w:tr w:rsidR="00640B71" w:rsidRPr="00640B71" w:rsidTr="00E66603">
        <w:tblPrEx>
          <w:tblCellMar>
            <w:left w:w="108" w:type="dxa"/>
            <w:right w:w="108" w:type="dxa"/>
          </w:tblCellMar>
        </w:tblPrEx>
        <w:tc>
          <w:tcPr>
            <w:tcW w:w="860" w:type="dxa"/>
            <w:tcBorders>
              <w:top w:val="single" w:sz="4" w:space="0" w:color="auto"/>
              <w:left w:val="single" w:sz="4" w:space="0" w:color="auto"/>
              <w:bottom w:val="single" w:sz="4" w:space="0" w:color="auto"/>
              <w:right w:val="single" w:sz="4" w:space="0" w:color="000000"/>
            </w:tcBorders>
          </w:tcPr>
          <w:p w:rsidR="001C127B" w:rsidRPr="00640B71" w:rsidRDefault="001C127B"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b/>
                <w:bCs/>
                <w:sz w:val="18"/>
                <w:szCs w:val="18"/>
              </w:rPr>
            </w:pPr>
          </w:p>
        </w:tc>
        <w:tc>
          <w:tcPr>
            <w:tcW w:w="4181" w:type="dxa"/>
            <w:tcBorders>
              <w:top w:val="single" w:sz="4" w:space="0" w:color="auto"/>
              <w:left w:val="single" w:sz="4" w:space="0" w:color="000000"/>
              <w:bottom w:val="single" w:sz="4" w:space="0" w:color="auto"/>
              <w:right w:val="single" w:sz="4" w:space="0" w:color="000000"/>
            </w:tcBorders>
            <w:vAlign w:val="center"/>
          </w:tcPr>
          <w:p w:rsidR="001C127B" w:rsidRPr="00432EAB" w:rsidRDefault="001C127B" w:rsidP="0082539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Arial" w:hAnsi="Arial" w:cs="Arial"/>
                <w:b/>
                <w:bCs/>
                <w:color w:val="FF0000"/>
                <w:sz w:val="18"/>
                <w:szCs w:val="18"/>
              </w:rPr>
            </w:pPr>
            <w:r w:rsidRPr="00432EAB">
              <w:rPr>
                <w:rFonts w:ascii="Arial" w:hAnsi="Arial" w:cs="Arial"/>
                <w:b/>
                <w:bCs/>
                <w:color w:val="FF0000"/>
                <w:sz w:val="18"/>
                <w:szCs w:val="18"/>
              </w:rPr>
              <w:t>SICUREZZA DEL CANTIERE (non soggett</w:t>
            </w:r>
            <w:r w:rsidR="00825399" w:rsidRPr="00432EAB">
              <w:rPr>
                <w:rFonts w:ascii="Arial" w:hAnsi="Arial" w:cs="Arial"/>
                <w:b/>
                <w:bCs/>
                <w:color w:val="FF0000"/>
                <w:sz w:val="18"/>
                <w:szCs w:val="18"/>
              </w:rPr>
              <w:t>a</w:t>
            </w:r>
            <w:r w:rsidRPr="00432EAB">
              <w:rPr>
                <w:rFonts w:ascii="Arial" w:hAnsi="Arial" w:cs="Arial"/>
                <w:b/>
                <w:bCs/>
                <w:color w:val="FF0000"/>
                <w:sz w:val="18"/>
                <w:szCs w:val="18"/>
              </w:rPr>
              <w:t xml:space="preserve"> a ribasso)</w:t>
            </w:r>
          </w:p>
        </w:tc>
        <w:tc>
          <w:tcPr>
            <w:tcW w:w="1276" w:type="dxa"/>
            <w:tcBorders>
              <w:top w:val="single" w:sz="4" w:space="0" w:color="auto"/>
              <w:left w:val="single" w:sz="4" w:space="0" w:color="000000"/>
              <w:bottom w:val="single" w:sz="4" w:space="0" w:color="auto"/>
              <w:right w:val="single" w:sz="4" w:space="0" w:color="000000"/>
            </w:tcBorders>
            <w:vAlign w:val="center"/>
          </w:tcPr>
          <w:p w:rsidR="001C127B" w:rsidRPr="00432EAB" w:rsidRDefault="001C127B"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ascii="Arial" w:hAnsi="Arial" w:cs="Arial"/>
                <w:iCs/>
                <w:color w:val="FF0000"/>
                <w:sz w:val="18"/>
                <w:szCs w:val="18"/>
              </w:rPr>
            </w:pPr>
          </w:p>
        </w:tc>
        <w:tc>
          <w:tcPr>
            <w:tcW w:w="1276" w:type="dxa"/>
            <w:tcBorders>
              <w:top w:val="single" w:sz="4" w:space="0" w:color="auto"/>
              <w:left w:val="single" w:sz="4" w:space="0" w:color="000000"/>
              <w:bottom w:val="single" w:sz="4" w:space="0" w:color="auto"/>
              <w:right w:val="single" w:sz="4" w:space="0" w:color="000000"/>
            </w:tcBorders>
            <w:vAlign w:val="center"/>
          </w:tcPr>
          <w:p w:rsidR="001C127B" w:rsidRPr="00432EAB" w:rsidRDefault="001C127B"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color w:val="FF0000"/>
                <w:sz w:val="18"/>
                <w:szCs w:val="18"/>
              </w:rPr>
            </w:pPr>
            <w:r w:rsidRPr="00432EAB">
              <w:rPr>
                <w:rFonts w:ascii="Arial" w:hAnsi="Arial" w:cs="Arial"/>
                <w:color w:val="FF0000"/>
                <w:sz w:val="18"/>
                <w:szCs w:val="18"/>
              </w:rPr>
              <w:t>2.619,11</w:t>
            </w:r>
          </w:p>
        </w:tc>
        <w:tc>
          <w:tcPr>
            <w:tcW w:w="1196" w:type="dxa"/>
            <w:tcBorders>
              <w:top w:val="single" w:sz="4" w:space="0" w:color="auto"/>
              <w:left w:val="single" w:sz="4" w:space="0" w:color="000000"/>
              <w:bottom w:val="single" w:sz="4" w:space="0" w:color="auto"/>
              <w:right w:val="single" w:sz="4" w:space="0" w:color="auto"/>
            </w:tcBorders>
            <w:vAlign w:val="center"/>
          </w:tcPr>
          <w:p w:rsidR="001C127B" w:rsidRPr="00432EAB" w:rsidRDefault="001C127B"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p>
        </w:tc>
        <w:tc>
          <w:tcPr>
            <w:tcW w:w="1117" w:type="dxa"/>
            <w:tcBorders>
              <w:top w:val="single" w:sz="4" w:space="0" w:color="auto"/>
              <w:left w:val="single" w:sz="4" w:space="0" w:color="auto"/>
              <w:bottom w:val="single" w:sz="4" w:space="0" w:color="auto"/>
              <w:right w:val="single" w:sz="4" w:space="0" w:color="auto"/>
            </w:tcBorders>
            <w:vAlign w:val="center"/>
          </w:tcPr>
          <w:p w:rsidR="001C127B" w:rsidRPr="00432EAB" w:rsidRDefault="00640B71" w:rsidP="00640B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iCs/>
                <w:color w:val="FF0000"/>
                <w:sz w:val="18"/>
                <w:szCs w:val="18"/>
              </w:rPr>
            </w:pPr>
            <w:r w:rsidRPr="00432EAB">
              <w:rPr>
                <w:rFonts w:ascii="Arial" w:hAnsi="Arial" w:cs="Arial"/>
                <w:iCs/>
                <w:color w:val="FF0000"/>
                <w:sz w:val="18"/>
                <w:szCs w:val="18"/>
              </w:rPr>
              <w:t>1,11%</w:t>
            </w:r>
          </w:p>
        </w:tc>
      </w:tr>
      <w:tr w:rsidR="00D35E1B" w:rsidRPr="00640B71" w:rsidTr="00E66603">
        <w:tblPrEx>
          <w:tblCellMar>
            <w:left w:w="108" w:type="dxa"/>
            <w:right w:w="108" w:type="dxa"/>
          </w:tblCellMar>
        </w:tblPrEx>
        <w:tc>
          <w:tcPr>
            <w:tcW w:w="7593" w:type="dxa"/>
            <w:gridSpan w:val="4"/>
            <w:tcBorders>
              <w:top w:val="single" w:sz="4" w:space="0" w:color="auto"/>
              <w:left w:val="single" w:sz="4" w:space="0" w:color="000000"/>
              <w:bottom w:val="nil"/>
              <w:right w:val="single" w:sz="4" w:space="0" w:color="000000"/>
            </w:tcBorders>
          </w:tcPr>
          <w:p w:rsidR="00D35E1B" w:rsidRPr="00432EAB" w:rsidRDefault="00D35E1B"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color w:val="FF0000"/>
                <w:sz w:val="18"/>
                <w:szCs w:val="18"/>
              </w:rPr>
            </w:pPr>
          </w:p>
        </w:tc>
        <w:tc>
          <w:tcPr>
            <w:tcW w:w="2313" w:type="dxa"/>
            <w:gridSpan w:val="2"/>
            <w:tcBorders>
              <w:top w:val="single" w:sz="4" w:space="0" w:color="auto"/>
              <w:left w:val="single" w:sz="4" w:space="0" w:color="000000"/>
              <w:bottom w:val="nil"/>
              <w:right w:val="single" w:sz="4" w:space="0" w:color="auto"/>
            </w:tcBorders>
            <w:vAlign w:val="bottom"/>
          </w:tcPr>
          <w:p w:rsidR="00D35E1B" w:rsidRPr="00432EAB" w:rsidRDefault="00D35E1B"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color w:val="FF0000"/>
                <w:sz w:val="18"/>
                <w:szCs w:val="18"/>
              </w:rPr>
            </w:pPr>
          </w:p>
        </w:tc>
      </w:tr>
      <w:tr w:rsidR="00D35E1B" w:rsidRPr="00640B71" w:rsidTr="00896B9E">
        <w:tblPrEx>
          <w:tblCellMar>
            <w:left w:w="108" w:type="dxa"/>
            <w:right w:w="108" w:type="dxa"/>
          </w:tblCellMar>
        </w:tblPrEx>
        <w:tc>
          <w:tcPr>
            <w:tcW w:w="5041" w:type="dxa"/>
            <w:gridSpan w:val="2"/>
            <w:tcBorders>
              <w:top w:val="single" w:sz="4" w:space="0" w:color="000000"/>
              <w:left w:val="single" w:sz="4" w:space="0" w:color="000000"/>
              <w:bottom w:val="single" w:sz="4" w:space="0" w:color="000000"/>
              <w:right w:val="single" w:sz="4" w:space="0" w:color="000000"/>
            </w:tcBorders>
            <w:vAlign w:val="center"/>
          </w:tcPr>
          <w:p w:rsidR="00D35E1B" w:rsidRPr="00432EAB" w:rsidRDefault="00D35E1B"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i/>
                <w:iCs/>
                <w:color w:val="FF0000"/>
                <w:sz w:val="18"/>
                <w:szCs w:val="18"/>
              </w:rPr>
            </w:pPr>
            <w:r w:rsidRPr="00432EAB">
              <w:rPr>
                <w:rFonts w:ascii="Arial" w:hAnsi="Arial" w:cs="Arial"/>
                <w:b/>
                <w:bCs/>
                <w:i/>
                <w:iCs/>
                <w:color w:val="FF0000"/>
                <w:sz w:val="18"/>
                <w:szCs w:val="18"/>
              </w:rPr>
              <w:t>Totale APPALTO</w:t>
            </w:r>
          </w:p>
        </w:tc>
        <w:tc>
          <w:tcPr>
            <w:tcW w:w="1276" w:type="dxa"/>
            <w:tcBorders>
              <w:top w:val="single" w:sz="4" w:space="0" w:color="000000"/>
              <w:left w:val="single" w:sz="4" w:space="0" w:color="000000"/>
              <w:bottom w:val="single" w:sz="4" w:space="0" w:color="000000"/>
              <w:right w:val="single" w:sz="4" w:space="0" w:color="000000"/>
            </w:tcBorders>
            <w:vAlign w:val="center"/>
          </w:tcPr>
          <w:p w:rsidR="00D35E1B" w:rsidRPr="00432EAB" w:rsidRDefault="00D35E1B"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i/>
                <w:iCs/>
                <w:color w:val="FF0000"/>
                <w:sz w:val="18"/>
                <w:szCs w:val="18"/>
              </w:rPr>
            </w:pPr>
            <w:r w:rsidRPr="00432EAB">
              <w:rPr>
                <w:rFonts w:ascii="Arial" w:hAnsi="Arial" w:cs="Arial"/>
                <w:b/>
                <w:bCs/>
                <w:i/>
                <w:iCs/>
                <w:color w:val="FF0000"/>
                <w:sz w:val="18"/>
                <w:szCs w:val="18"/>
              </w:rPr>
              <w:t>234.382,84</w:t>
            </w:r>
          </w:p>
        </w:tc>
        <w:tc>
          <w:tcPr>
            <w:tcW w:w="1276" w:type="dxa"/>
            <w:tcBorders>
              <w:top w:val="single" w:sz="4" w:space="0" w:color="000000"/>
              <w:left w:val="single" w:sz="4" w:space="0" w:color="000000"/>
              <w:bottom w:val="single" w:sz="4" w:space="0" w:color="000000"/>
              <w:right w:val="single" w:sz="4" w:space="0" w:color="000000"/>
            </w:tcBorders>
            <w:vAlign w:val="center"/>
          </w:tcPr>
          <w:p w:rsidR="00D35E1B" w:rsidRPr="00432EAB" w:rsidRDefault="00D35E1B"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i/>
                <w:iCs/>
                <w:color w:val="FF0000"/>
                <w:sz w:val="18"/>
                <w:szCs w:val="18"/>
              </w:rPr>
            </w:pPr>
            <w:r w:rsidRPr="00432EAB">
              <w:rPr>
                <w:rFonts w:ascii="Arial" w:hAnsi="Arial" w:cs="Arial"/>
                <w:b/>
                <w:bCs/>
                <w:i/>
                <w:iCs/>
                <w:color w:val="FF0000"/>
                <w:sz w:val="18"/>
                <w:szCs w:val="18"/>
              </w:rPr>
              <w:t>2.619,11</w:t>
            </w:r>
          </w:p>
        </w:tc>
        <w:tc>
          <w:tcPr>
            <w:tcW w:w="1196" w:type="dxa"/>
            <w:tcBorders>
              <w:top w:val="single" w:sz="4" w:space="0" w:color="000000"/>
              <w:left w:val="single" w:sz="4" w:space="0" w:color="000000"/>
              <w:bottom w:val="single" w:sz="4" w:space="0" w:color="000000"/>
              <w:right w:val="single" w:sz="4" w:space="0" w:color="000000"/>
            </w:tcBorders>
            <w:vAlign w:val="center"/>
          </w:tcPr>
          <w:p w:rsidR="00D35E1B" w:rsidRPr="00432EAB" w:rsidRDefault="00D35E1B"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i/>
                <w:iCs/>
                <w:color w:val="FF0000"/>
                <w:sz w:val="18"/>
                <w:szCs w:val="18"/>
              </w:rPr>
            </w:pPr>
            <w:r w:rsidRPr="00432EAB">
              <w:rPr>
                <w:rFonts w:ascii="Arial" w:hAnsi="Arial" w:cs="Arial"/>
                <w:b/>
                <w:bCs/>
                <w:i/>
                <w:iCs/>
                <w:color w:val="FF0000"/>
                <w:sz w:val="18"/>
                <w:szCs w:val="18"/>
              </w:rPr>
              <w:t>237.001,95</w:t>
            </w:r>
          </w:p>
        </w:tc>
        <w:tc>
          <w:tcPr>
            <w:tcW w:w="1117" w:type="dxa"/>
            <w:tcBorders>
              <w:top w:val="single" w:sz="4" w:space="0" w:color="auto"/>
              <w:left w:val="single" w:sz="4" w:space="0" w:color="000000"/>
              <w:bottom w:val="single" w:sz="4" w:space="0" w:color="000000"/>
              <w:right w:val="single" w:sz="4" w:space="0" w:color="000000"/>
            </w:tcBorders>
            <w:vAlign w:val="center"/>
          </w:tcPr>
          <w:p w:rsidR="00D35E1B" w:rsidRPr="00432EAB" w:rsidRDefault="00D35E1B" w:rsidP="001C127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Arial" w:hAnsi="Arial" w:cs="Arial"/>
                <w:b/>
                <w:bCs/>
                <w:i/>
                <w:iCs/>
                <w:color w:val="FF0000"/>
                <w:sz w:val="18"/>
                <w:szCs w:val="18"/>
              </w:rPr>
            </w:pPr>
          </w:p>
        </w:tc>
      </w:tr>
    </w:tbl>
    <w:p w:rsidR="00746BEA" w:rsidRPr="00640B71"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b/>
          <w:bCs/>
          <w:i/>
          <w:iCs/>
          <w:sz w:val="18"/>
          <w:szCs w:val="18"/>
        </w:rPr>
      </w:pP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A535F8" w:rsidRDefault="00A535F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bookmarkStart w:id="0" w:name="_GoBack"/>
      <w:bookmarkEnd w:id="0"/>
    </w:p>
    <w:p w:rsidR="00A535F8" w:rsidRDefault="00A535F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5 - Domicilio dell'appaltatore</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rPr>
            </w:pPr>
            <w:r>
              <w:rPr>
                <w:rFonts w:ascii="Calibri" w:hAnsi="Calibri" w:cs="Calibri"/>
                <w:sz w:val="22"/>
                <w:szCs w:val="22"/>
                <w:lang w:val="x-none" w:eastAsia="x-none"/>
              </w:rPr>
              <w:t>A tutti gli effetti del presente contratto, l'appaltatore elegge domicilio in _________________________, presso__________________________, alla via ____________________________________ , n. _______ .</w:t>
            </w:r>
          </w:p>
        </w:tc>
      </w:tr>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2.</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rPr>
            </w:pPr>
            <w:r>
              <w:rPr>
                <w:rFonts w:ascii="Calibri" w:hAnsi="Calibri" w:cs="Calibri"/>
                <w:sz w:val="22"/>
                <w:szCs w:val="22"/>
                <w:lang w:val="x-none" w:eastAsia="x-none"/>
              </w:rPr>
              <w:t>I pagamenti saranno effettuati mediante bonifico sul conto corrente corrispondente al seguente codice IBAN: IT ___________________________________________   acceso presso ______________________.</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6 - Termini di esecuzione - penali</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rPr>
            </w:pPr>
            <w:r>
              <w:rPr>
                <w:rFonts w:ascii="Calibri" w:hAnsi="Calibri" w:cs="Calibri"/>
                <w:sz w:val="22"/>
                <w:szCs w:val="22"/>
                <w:lang w:val="x-none" w:eastAsia="x-none"/>
              </w:rPr>
              <w:t>I lavori saranno consegnati entro 45 giorni dalla stipula del presente contratto .</w:t>
            </w:r>
          </w:p>
        </w:tc>
      </w:tr>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2.</w:t>
            </w:r>
          </w:p>
        </w:tc>
        <w:tc>
          <w:tcPr>
            <w:tcW w:w="9540" w:type="dxa"/>
            <w:tcBorders>
              <w:top w:val="nil"/>
              <w:left w:val="nil"/>
              <w:bottom w:val="nil"/>
              <w:right w:val="nil"/>
            </w:tcBorders>
          </w:tcPr>
          <w:p w:rsidR="00746BEA" w:rsidRDefault="00746BEA" w:rsidP="00214CA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rPr>
            </w:pPr>
            <w:r>
              <w:rPr>
                <w:rFonts w:ascii="Calibri" w:hAnsi="Calibri" w:cs="Calibri"/>
                <w:sz w:val="22"/>
                <w:szCs w:val="22"/>
              </w:rPr>
              <w:t xml:space="preserve">L'appaltatore si obbliga ad ultimare i lavori entro il termine di </w:t>
            </w:r>
            <w:r w:rsidR="00214CAA" w:rsidRPr="00214CAA">
              <w:rPr>
                <w:rFonts w:ascii="Calibri" w:hAnsi="Calibri" w:cs="Calibri"/>
                <w:b/>
                <w:sz w:val="22"/>
                <w:szCs w:val="22"/>
                <w:lang w:eastAsia="x-none"/>
              </w:rPr>
              <w:t>45</w:t>
            </w:r>
            <w:r w:rsidRPr="00214CAA">
              <w:rPr>
                <w:rFonts w:ascii="Calibri" w:hAnsi="Calibri" w:cs="Calibri"/>
                <w:b/>
                <w:sz w:val="22"/>
                <w:szCs w:val="22"/>
              </w:rPr>
              <w:t xml:space="preserve"> giorni</w:t>
            </w:r>
            <w:r>
              <w:rPr>
                <w:rFonts w:ascii="Calibri" w:hAnsi="Calibri" w:cs="Calibri"/>
                <w:sz w:val="22"/>
                <w:szCs w:val="22"/>
              </w:rPr>
              <w:t xml:space="preserve"> naturali consecutivi decorrenti dalla data del verbale di consegna dei lavori.</w:t>
            </w:r>
          </w:p>
        </w:tc>
      </w:tr>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3.</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rPr>
            </w:pPr>
            <w:r>
              <w:rPr>
                <w:rFonts w:ascii="Calibri" w:hAnsi="Calibri" w:cs="Calibri"/>
                <w:sz w:val="22"/>
                <w:szCs w:val="22"/>
              </w:rPr>
              <w:t>Nel caso di mancato rispetto del termine indicato per l'esecuzione delle opere, per ogni giorno naturale consecutivo di ritardo nell'ultimazione dei lavori dei lavori viene applicata una penale pari allo 0,30 per mille (71,10 €) dell'importo contrattuale.</w:t>
            </w:r>
          </w:p>
        </w:tc>
      </w:tr>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4.</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rPr>
            </w:pPr>
            <w:r>
              <w:rPr>
                <w:rFonts w:ascii="Calibri" w:hAnsi="Calibri" w:cs="Calibri"/>
                <w:sz w:val="22"/>
                <w:szCs w:val="22"/>
              </w:rPr>
              <w:t xml:space="preserve">Il corrispettivo delle prestazioni ordinate è definito consensualmente con l'affidatario; in difetto di preventivo accordo la stazione appaltante può ingiungere all'affidatario l'esecuzione delle lavorazioni o la </w:t>
            </w:r>
            <w:r>
              <w:rPr>
                <w:rFonts w:ascii="Calibri" w:hAnsi="Calibri" w:cs="Calibri"/>
                <w:sz w:val="22"/>
                <w:szCs w:val="22"/>
              </w:rPr>
              <w:lastRenderedPageBreak/>
              <w:t>somministrazione dei materiali sulla base di prezzi definiti mediante l'utilizzo di prezzari ufficiali di riferimento, ridotti del 20 per cento, comunque ammessi nella contabilità; ove l'esecutore non iscriva riserva negli atti contabili, i prezzi si intendono definitivamente accettati.</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7 - Sospensione dei lavori</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lang w:val="x-none" w:eastAsia="x-none"/>
              </w:rPr>
            </w:pPr>
            <w:r>
              <w:rPr>
                <w:rFonts w:ascii="Calibri" w:hAnsi="Calibri" w:cs="Calibri"/>
                <w:sz w:val="22"/>
                <w:szCs w:val="22"/>
                <w:lang w:val="x-none" w:eastAsia="x-none"/>
              </w:rPr>
              <w:t>In tutti i casi in cui ricorrano circostanze speciali che impediscono in via temporanea che i lavori procedano utilmente a regola d'arte, e che non siano prevedibili al momento della stipulazione del contratto, il direttore dei lavori può disporre la sospensione dell'esecuzione del contratto, compilando, con l'intervento dell'esecutore o di un suo legale rappresentante, il verbale di sospensione, con l'indicazione delle ragioni che hanno determinato l'interruzione dei lavori, nonché dello stato di avanzamento dei lavori, delle opere la cui esecuzione rimane interrotta e delle cautele adottate affinché alla ripresa le stesse possano essere continuate ed ultimate senza eccessivi oneri, della consistenza della forza lavoro e dei mezzi d'opera esistenti in cantiere al momento della sospensione</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2.</w:t>
            </w:r>
          </w:p>
        </w:tc>
        <w:tc>
          <w:tcPr>
            <w:tcW w:w="9540" w:type="dxa"/>
            <w:tcBorders>
              <w:top w:val="nil"/>
              <w:left w:val="nil"/>
              <w:bottom w:val="nil"/>
              <w:right w:val="nil"/>
            </w:tcBorders>
          </w:tcPr>
          <w:p w:rsidR="00746BEA" w:rsidRDefault="00746BE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sz w:val="22"/>
                <w:szCs w:val="22"/>
              </w:rPr>
            </w:pPr>
            <w:r>
              <w:rPr>
                <w:rFonts w:ascii="Calibri" w:hAnsi="Calibri" w:cs="Calibri"/>
                <w:color w:val="auto"/>
                <w:sz w:val="22"/>
                <w:szCs w:val="22"/>
              </w:rPr>
              <w:t xml:space="preserve">Se </w:t>
            </w:r>
            <w:r>
              <w:rPr>
                <w:rFonts w:ascii="Calibri" w:hAnsi="Calibri" w:cs="Calibri"/>
                <w:color w:val="auto"/>
                <w:sz w:val="22"/>
                <w:szCs w:val="22"/>
                <w:lang w:val="x-none" w:eastAsia="x-none"/>
              </w:rPr>
              <w:t>successivamente alla consegna dei lavori insorgano, per cause imprevedibili o di forza maggiore, circostanze che impediscano parzialmente il regolare svolgimento dei lavori, l'appaltatore è tenuto a proseguire le parti di lavoro eseguibili, mentre si provvede alla sospensione parziale dei lavori non eseguibili in conseguenza di detti impedimenti, dandone atto in apposito verbale.</w:t>
            </w:r>
          </w:p>
        </w:tc>
      </w:tr>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3.</w:t>
            </w:r>
          </w:p>
        </w:tc>
        <w:tc>
          <w:tcPr>
            <w:tcW w:w="9540" w:type="dxa"/>
            <w:tcBorders>
              <w:top w:val="nil"/>
              <w:left w:val="nil"/>
              <w:bottom w:val="nil"/>
              <w:right w:val="nil"/>
            </w:tcBorders>
          </w:tcPr>
          <w:p w:rsidR="00746BEA" w:rsidRDefault="00746BE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sz w:val="22"/>
                <w:szCs w:val="22"/>
              </w:rPr>
            </w:pPr>
            <w:r>
              <w:rPr>
                <w:rFonts w:ascii="Calibri" w:hAnsi="Calibri" w:cs="Calibri"/>
                <w:sz w:val="22"/>
                <w:szCs w:val="22"/>
                <w:lang w:val="x-none" w:eastAsia="x-none"/>
              </w:rPr>
              <w:t>L</w:t>
            </w:r>
            <w:r>
              <w:rPr>
                <w:rFonts w:ascii="Calibri" w:hAnsi="Calibri" w:cs="Calibri"/>
                <w:color w:val="auto"/>
                <w:sz w:val="22"/>
                <w:szCs w:val="22"/>
                <w:lang w:val="x-none" w:eastAsia="x-none"/>
              </w:rPr>
              <w:t xml:space="preserve">e contestazioni dell'esecutore in merito alle sospensioni dei lavori sono iscritte a pena di decadenza nei verbali di sospensione e di ripresa dei lavori, salvo che per le sospensioni inizialmente legittime, per le quali è sufficiente l'iscrizione nel verbale di ripresa dei lavori; qualora l'esecutore non intervenga alla firma dei verbali o si rifiuti di sottoscriverli, deve farne espressa riserva sul registro di contabilità. </w:t>
            </w:r>
          </w:p>
        </w:tc>
      </w:tr>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4.</w:t>
            </w:r>
          </w:p>
        </w:tc>
        <w:tc>
          <w:tcPr>
            <w:tcW w:w="9540" w:type="dxa"/>
            <w:tcBorders>
              <w:top w:val="nil"/>
              <w:left w:val="nil"/>
              <w:bottom w:val="nil"/>
              <w:right w:val="nil"/>
            </w:tcBorders>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lang w:val="x-none" w:eastAsia="x-none"/>
              </w:rPr>
              <w:t>Quando la sospensione supera il quarto del tempo contrattuale complessivo il responsabile del procedimento dà avviso all'ANAC.</w:t>
            </w:r>
          </w:p>
        </w:tc>
      </w:tr>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5.</w:t>
            </w:r>
          </w:p>
        </w:tc>
        <w:tc>
          <w:tcPr>
            <w:tcW w:w="9540" w:type="dxa"/>
            <w:tcBorders>
              <w:top w:val="nil"/>
              <w:left w:val="nil"/>
              <w:bottom w:val="nil"/>
              <w:right w:val="nil"/>
            </w:tcBorders>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Nel caso di sospensioni totali o parziali dei lavori disposte dalla stazione appaltante per cause diverse da quelle di cui all'art. 107 commi 1, 2 e 4 del codice dei contratti, l'esecutore può chiedere il risarcimento dei danni subiti, quantificato sulla base di quanto previsto dall'articolo 1382 del codice civile e secondo i criteri individuati all'articolo 10 comma 2 del DM n.49 del 07/03/2018.</w:t>
            </w:r>
          </w:p>
        </w:tc>
      </w:tr>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6.</w:t>
            </w:r>
          </w:p>
        </w:tc>
        <w:tc>
          <w:tcPr>
            <w:tcW w:w="9540" w:type="dxa"/>
            <w:tcBorders>
              <w:top w:val="nil"/>
              <w:left w:val="nil"/>
              <w:bottom w:val="nil"/>
              <w:right w:val="nil"/>
            </w:tcBorders>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L'esecutore non ha diritto allo scioglimento del contratto né ad alcuna indennità qualora i lavori, per qualsiasi causa non imputabile alla stazione appaltante, non siano ultimati nel termine contrattuale e qualunque sia il maggior tempo impiegato.</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8 - Oneri a carico dell'appaltatore</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lang w:val="x-none" w:eastAsia="x-none"/>
              </w:rPr>
            </w:pPr>
            <w:r>
              <w:rPr>
                <w:rFonts w:ascii="Calibri" w:hAnsi="Calibri" w:cs="Calibri"/>
                <w:sz w:val="22"/>
                <w:szCs w:val="22"/>
                <w:lang w:val="x-none" w:eastAsia="x-none"/>
              </w:rPr>
              <w:t>In osservanza alle disposizioni legislative, al capitolato speciale d'appalto e del capitolato generale d'appalto, s'intendono a carico dell'appaltatore le spese relative all'allestimento del cantiere, degli apprestamenti previsti, degli impianti, delle infrastrutture, compresi la manutenzione e  la custodia  per tutta la durata dei lavori.</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2.</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lang w:val="x-none" w:eastAsia="x-none"/>
              </w:rPr>
            </w:pPr>
            <w:r>
              <w:rPr>
                <w:rFonts w:ascii="Calibri" w:hAnsi="Calibri" w:cs="Calibri"/>
                <w:sz w:val="22"/>
                <w:szCs w:val="22"/>
                <w:lang w:val="x-none" w:eastAsia="x-none"/>
              </w:rPr>
              <w:t>Sono a carico dell'appaltatore le spese per il mantenimento delle opere realizzate fino all'emissione del certificato di collaudo provvisorio.</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3.</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lang w:val="x-none" w:eastAsia="x-none"/>
              </w:rPr>
            </w:pPr>
            <w:r>
              <w:rPr>
                <w:rFonts w:ascii="Calibri" w:hAnsi="Calibri" w:cs="Calibri"/>
                <w:sz w:val="22"/>
                <w:szCs w:val="22"/>
                <w:lang w:val="x-none" w:eastAsia="x-none"/>
              </w:rPr>
              <w:t>L'appaltatore è in tutti i casi responsabile dei danni causati dall'imperizia o dalla negligenza di suo personale e comunque di soggetti da lui nominati.</w:t>
            </w:r>
          </w:p>
        </w:tc>
      </w:tr>
    </w:tbl>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9 - Contabilità dei lavori e pagamenti</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54"/>
        <w:gridCol w:w="9486"/>
      </w:tblGrid>
      <w:tr w:rsidR="00746BEA">
        <w:tc>
          <w:tcPr>
            <w:tcW w:w="366" w:type="dxa"/>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4"/>
                <w:szCs w:val="24"/>
              </w:rPr>
            </w:pPr>
            <w:r>
              <w:rPr>
                <w:rFonts w:ascii="Calibri" w:hAnsi="Calibri" w:cs="Calibri"/>
                <w:sz w:val="22"/>
                <w:szCs w:val="22"/>
              </w:rPr>
              <w:t>2.</w:t>
            </w:r>
          </w:p>
        </w:tc>
        <w:tc>
          <w:tcPr>
            <w:tcW w:w="9540" w:type="dxa"/>
            <w:gridSpan w:val="2"/>
            <w:tcBorders>
              <w:top w:val="nil"/>
              <w:left w:val="nil"/>
              <w:bottom w:val="nil"/>
              <w:right w:val="nil"/>
            </w:tcBorders>
          </w:tcPr>
          <w:p w:rsidR="00746BEA" w:rsidRDefault="00746BEA" w:rsidP="00B3406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 xml:space="preserve">Ai sensi dell'art. 35, comma 18 del codice dei contatti, all'appaltatore </w:t>
            </w:r>
            <w:r w:rsidR="00B3406B" w:rsidRPr="00B3406B">
              <w:rPr>
                <w:rFonts w:ascii="Calibri" w:hAnsi="Calibri" w:cs="Calibri"/>
                <w:color w:val="FF0000"/>
                <w:sz w:val="22"/>
                <w:szCs w:val="22"/>
              </w:rPr>
              <w:t>può essere</w:t>
            </w:r>
            <w:r w:rsidRPr="00B3406B">
              <w:rPr>
                <w:rFonts w:ascii="Calibri" w:hAnsi="Calibri" w:cs="Calibri"/>
                <w:color w:val="FF0000"/>
                <w:sz w:val="22"/>
                <w:szCs w:val="22"/>
              </w:rPr>
              <w:t xml:space="preserve"> </w:t>
            </w:r>
            <w:r>
              <w:rPr>
                <w:rFonts w:ascii="Calibri" w:hAnsi="Calibri" w:cs="Calibri"/>
                <w:sz w:val="22"/>
                <w:szCs w:val="22"/>
              </w:rPr>
              <w:t>concessa un'anticipazione pari al 20 per cento, calcolato sul valore del contratto di appalto da corrispondere entro quindici giorni dall'effettivo inizio dei lavori</w:t>
            </w:r>
            <w:r w:rsidR="00B3406B">
              <w:rPr>
                <w:rFonts w:ascii="Calibri" w:hAnsi="Calibri" w:cs="Calibri"/>
                <w:sz w:val="22"/>
                <w:szCs w:val="22"/>
              </w:rPr>
              <w:t xml:space="preserve">, </w:t>
            </w:r>
            <w:r w:rsidR="00B3406B" w:rsidRPr="00B3406B">
              <w:rPr>
                <w:rFonts w:ascii="Calibri" w:hAnsi="Calibri" w:cs="Calibri"/>
                <w:color w:val="FF0000"/>
                <w:sz w:val="22"/>
                <w:szCs w:val="22"/>
              </w:rPr>
              <w:t>previa stipula di una polizza fidejussoria</w:t>
            </w:r>
            <w:r w:rsidR="00F24365" w:rsidRPr="00F24365">
              <w:rPr>
                <w:rFonts w:ascii="Calibri" w:hAnsi="Calibri" w:cs="Calibri"/>
                <w:color w:val="FF0000"/>
                <w:sz w:val="22"/>
                <w:szCs w:val="22"/>
              </w:rPr>
              <w:t xml:space="preserve"> </w:t>
            </w:r>
            <w:r w:rsidR="00F24365" w:rsidRPr="00F24365">
              <w:rPr>
                <w:rFonts w:ascii="Calibri" w:hAnsi="Calibri" w:cs="Calibri"/>
                <w:color w:val="FF0000"/>
                <w:sz w:val="22"/>
                <w:szCs w:val="22"/>
              </w:rPr>
              <w:t>di importo pari all'anticipazione</w:t>
            </w:r>
            <w:r w:rsidR="00F24365">
              <w:rPr>
                <w:rFonts w:ascii="Calibri" w:hAnsi="Calibri" w:cs="Calibri"/>
                <w:color w:val="FF0000"/>
                <w:sz w:val="22"/>
                <w:szCs w:val="22"/>
              </w:rPr>
              <w:t>,</w:t>
            </w:r>
            <w:r w:rsidR="00F24365" w:rsidRPr="00F24365">
              <w:rPr>
                <w:rFonts w:ascii="Calibri" w:hAnsi="Calibri" w:cs="Calibri"/>
                <w:color w:val="FF0000"/>
                <w:sz w:val="22"/>
                <w:szCs w:val="22"/>
              </w:rPr>
              <w:t xml:space="preserve"> maggiorato del tasso di interesse legale applicato al periodo necessario al recupero dell'anticipazione stessa secondo il cronoprogramma dei lavori</w:t>
            </w:r>
            <w:r>
              <w:rPr>
                <w:rFonts w:ascii="Calibri" w:hAnsi="Calibri" w:cs="Calibri"/>
                <w:sz w:val="22"/>
                <w:szCs w:val="22"/>
              </w:rPr>
              <w:t xml:space="preserve">. </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2.</w:t>
            </w:r>
          </w:p>
        </w:tc>
        <w:tc>
          <w:tcPr>
            <w:tcW w:w="9540" w:type="dxa"/>
            <w:gridSpan w:val="2"/>
            <w:tcBorders>
              <w:top w:val="nil"/>
              <w:left w:val="nil"/>
              <w:bottom w:val="nil"/>
              <w:right w:val="nil"/>
            </w:tcBorders>
          </w:tcPr>
          <w:p w:rsidR="00746BEA" w:rsidRDefault="00746BEA" w:rsidP="0061616B">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lang w:val="x-none" w:eastAsia="x-none"/>
              </w:rPr>
            </w:pPr>
            <w:r>
              <w:rPr>
                <w:rFonts w:ascii="Calibri" w:hAnsi="Calibri" w:cs="Calibri"/>
                <w:sz w:val="22"/>
                <w:szCs w:val="22"/>
                <w:lang w:val="x-none" w:eastAsia="x-none"/>
              </w:rPr>
              <w:t xml:space="preserve">Le rate di acconto sono dovute ogni volta che l'importo dei lavori eseguiti, al netto dell'importo delle rate di acconto precedenti, raggiunge un importo non inferiore a </w:t>
            </w:r>
            <w:r w:rsidR="00B3406B" w:rsidRPr="00B3406B">
              <w:rPr>
                <w:rFonts w:ascii="Calibri" w:hAnsi="Calibri" w:cs="Calibri"/>
                <w:b/>
                <w:color w:val="FF0000"/>
                <w:sz w:val="22"/>
                <w:szCs w:val="22"/>
                <w:lang w:eastAsia="x-none"/>
              </w:rPr>
              <w:t>5</w:t>
            </w:r>
            <w:r w:rsidR="0061616B" w:rsidRPr="00B3406B">
              <w:rPr>
                <w:rFonts w:ascii="Calibri" w:hAnsi="Calibri" w:cs="Calibri"/>
                <w:b/>
                <w:color w:val="FF0000"/>
                <w:sz w:val="22"/>
                <w:szCs w:val="22"/>
                <w:lang w:eastAsia="x-none"/>
              </w:rPr>
              <w:t>0.000,00</w:t>
            </w:r>
            <w:r w:rsidRPr="00B3406B">
              <w:rPr>
                <w:rFonts w:ascii="Calibri" w:hAnsi="Calibri" w:cs="Calibri"/>
                <w:b/>
                <w:color w:val="FF0000"/>
                <w:sz w:val="22"/>
                <w:szCs w:val="22"/>
                <w:lang w:val="x-none" w:eastAsia="x-none"/>
              </w:rPr>
              <w:t xml:space="preserve"> €.</w:t>
            </w:r>
            <w:r w:rsidRPr="00B3406B">
              <w:rPr>
                <w:rFonts w:ascii="Calibri" w:hAnsi="Calibri" w:cs="Calibri"/>
                <w:color w:val="FF0000"/>
                <w:sz w:val="22"/>
                <w:szCs w:val="22"/>
                <w:lang w:val="x-none" w:eastAsia="x-none"/>
              </w:rPr>
              <w:t xml:space="preserve"> </w:t>
            </w:r>
            <w:r>
              <w:rPr>
                <w:rFonts w:ascii="Calibri" w:hAnsi="Calibri" w:cs="Calibri"/>
                <w:sz w:val="22"/>
                <w:szCs w:val="22"/>
              </w:rPr>
              <w:t>A garanzia dell'osservanza delle norme e delle prescrizioni dei contratti collettivi, delle leggi e dei regolamenti sulla tutela, protezione, assicurazione, assistenza e sicurezza fisica dei lavoratori, sull'importo netto progressivo dei lavor</w:t>
            </w:r>
            <w:r w:rsidR="00A535F8">
              <w:rPr>
                <w:rFonts w:ascii="Calibri" w:hAnsi="Calibri" w:cs="Calibri"/>
                <w:sz w:val="22"/>
                <w:szCs w:val="22"/>
              </w:rPr>
              <w:t xml:space="preserve">i è operata </w:t>
            </w:r>
            <w:r w:rsidR="00A535F8">
              <w:rPr>
                <w:rFonts w:ascii="Calibri" w:hAnsi="Calibri" w:cs="Calibri"/>
                <w:sz w:val="22"/>
                <w:szCs w:val="22"/>
              </w:rPr>
              <w:lastRenderedPageBreak/>
              <w:t xml:space="preserve">una ritenuta dello </w:t>
            </w:r>
            <w:r>
              <w:rPr>
                <w:rFonts w:ascii="Calibri" w:hAnsi="Calibri" w:cs="Calibri"/>
                <w:sz w:val="22"/>
                <w:szCs w:val="22"/>
              </w:rPr>
              <w:t>0,50 per cento da liquidarsi, nulla ostando, in sede di conto finale.</w:t>
            </w:r>
            <w:r>
              <w:rPr>
                <w:rFonts w:ascii="Calibri" w:hAnsi="Calibri" w:cs="Calibri"/>
                <w:sz w:val="22"/>
                <w:szCs w:val="22"/>
                <w:lang w:val="x-none" w:eastAsia="x-none"/>
              </w:rPr>
              <w:t xml:space="preserve"> </w:t>
            </w:r>
            <w:r>
              <w:rPr>
                <w:rFonts w:ascii="Calibri" w:hAnsi="Calibri" w:cs="Calibri"/>
                <w:sz w:val="22"/>
                <w:szCs w:val="22"/>
              </w:rPr>
              <w:t>Il RUP, ai sensi dell'articolo 113-bis del codice dei contratti, emette il certificato di pagamento contestualmente all'adozione di ogni stato di avanzamento lavori e comunque entro un termine non superiore a sette giorni dall'adozione dello stesso.</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lastRenderedPageBreak/>
              <w:t>3.</w:t>
            </w:r>
          </w:p>
        </w:tc>
        <w:tc>
          <w:tcPr>
            <w:tcW w:w="9540" w:type="dxa"/>
            <w:gridSpan w:val="2"/>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lang w:val="x-none" w:eastAsia="x-none"/>
              </w:rPr>
            </w:pPr>
            <w:r>
              <w:rPr>
                <w:rFonts w:ascii="Calibri" w:hAnsi="Calibri" w:cs="Calibri"/>
                <w:sz w:val="22"/>
                <w:szCs w:val="22"/>
                <w:lang w:val="x-none" w:eastAsia="x-none"/>
              </w:rPr>
              <w:t xml:space="preserve">Trattandosi di contratto con corrispettivo a corpo, in occasione di ogni stato d'avanzamento la quota percentuale eseguita dell'aliquota relativa alla voce disaggregata di ogni categoria di lavorazione che è stata eseguita viene riportata distintamente nel registro di contabilità. Le progressive quote percentuali delle voci disaggregate eseguite delle varie categorie di lavorazioni sono desunte da valutazioni autonomamente effettuate dal direttore dei lavori, il quale può controllarne l'ordine di grandezza attraverso un riscontro nel computo metrico estimativo dal quale le aliquote sono state dedotte. </w:t>
            </w:r>
            <w:r>
              <w:rPr>
                <w:rFonts w:ascii="Calibri" w:hAnsi="Calibri" w:cs="Calibri"/>
                <w:sz w:val="22"/>
                <w:szCs w:val="22"/>
              </w:rPr>
              <w:t>Il corrispettivo è determinato applicando la percentuale della quota eseguita all'aliquota contrattuale della relativa lavorazione e rapportandone il risultato all'importo contrattuale.</w:t>
            </w:r>
          </w:p>
        </w:tc>
      </w:tr>
      <w:tr w:rsidR="00746BEA">
        <w:tc>
          <w:tcPr>
            <w:tcW w:w="420" w:type="dxa"/>
            <w:gridSpan w:val="2"/>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4.</w:t>
            </w:r>
          </w:p>
        </w:tc>
        <w:tc>
          <w:tcPr>
            <w:tcW w:w="9486"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lang w:val="x-none" w:eastAsia="x-none"/>
              </w:rPr>
            </w:pPr>
            <w:r>
              <w:rPr>
                <w:rFonts w:ascii="Calibri" w:hAnsi="Calibri" w:cs="Calibri"/>
                <w:sz w:val="22"/>
                <w:szCs w:val="22"/>
              </w:rPr>
              <w:t xml:space="preserve">Gli oneri per la sicurezza sono contabilizzati con gli stessi criteri stabiliti per i lavori, con la sola eccezione del prezzo che è quello contrattuale prestabilito dalla stazione appaltante e non oggetto dell'offerta in sede di gara. </w:t>
            </w:r>
          </w:p>
        </w:tc>
      </w:tr>
      <w:tr w:rsidR="00746BEA">
        <w:tc>
          <w:tcPr>
            <w:tcW w:w="420" w:type="dxa"/>
            <w:gridSpan w:val="2"/>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5.</w:t>
            </w:r>
          </w:p>
        </w:tc>
        <w:tc>
          <w:tcPr>
            <w:tcW w:w="9486" w:type="dxa"/>
            <w:tcBorders>
              <w:top w:val="nil"/>
              <w:left w:val="nil"/>
              <w:bottom w:val="nil"/>
              <w:right w:val="nil"/>
            </w:tcBorders>
          </w:tcPr>
          <w:p w:rsidR="00746BEA" w:rsidRDefault="00746BE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color w:val="auto"/>
                <w:sz w:val="22"/>
                <w:szCs w:val="22"/>
                <w:lang w:val="x-none" w:eastAsia="x-none"/>
              </w:rPr>
            </w:pPr>
            <w:r>
              <w:rPr>
                <w:rFonts w:ascii="Calibri" w:hAnsi="Calibri" w:cs="Calibri"/>
                <w:color w:val="auto"/>
                <w:sz w:val="22"/>
                <w:szCs w:val="22"/>
                <w:lang w:val="x-none" w:eastAsia="x-none"/>
              </w:rPr>
              <w:t>Il pagamento della rata di saldo, comprensiva delle ritenute di cui al comma 3, è subordinato alla presentazione di garanzia fideiussoria e deve essere effettuato entro 30 giorni  dall'emissione del certificato di collaudo provvisorio ovvero del certificato di regolare esecuzione e non costituisce presunzione di accettazione dell'opera, ai sensi dell'articolo 1666, comma 2, del codice civile.</w:t>
            </w:r>
          </w:p>
        </w:tc>
      </w:tr>
      <w:tr w:rsidR="00746BEA">
        <w:tc>
          <w:tcPr>
            <w:tcW w:w="420" w:type="dxa"/>
            <w:gridSpan w:val="2"/>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6.</w:t>
            </w:r>
          </w:p>
        </w:tc>
        <w:tc>
          <w:tcPr>
            <w:tcW w:w="9486" w:type="dxa"/>
            <w:tcBorders>
              <w:top w:val="nil"/>
              <w:left w:val="nil"/>
              <w:bottom w:val="nil"/>
              <w:right w:val="nil"/>
            </w:tcBorders>
          </w:tcPr>
          <w:p w:rsidR="00746BEA" w:rsidRDefault="00746BE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color w:val="auto"/>
                <w:sz w:val="22"/>
                <w:szCs w:val="22"/>
                <w:lang w:val="x-none" w:eastAsia="x-none"/>
              </w:rPr>
            </w:pPr>
            <w:r>
              <w:rPr>
                <w:rFonts w:ascii="Calibri" w:hAnsi="Calibri" w:cs="Calibri"/>
                <w:color w:val="auto"/>
                <w:sz w:val="22"/>
                <w:szCs w:val="22"/>
                <w:lang w:val="x-none" w:eastAsia="x-none"/>
              </w:rPr>
              <w:t xml:space="preserve">L'importo della garanzia fideiussoria, dell'importo equivalente alla rata di saldo, deve essere </w:t>
            </w:r>
            <w:r>
              <w:rPr>
                <w:rFonts w:ascii="Calibri" w:hAnsi="Calibri" w:cs="Calibri"/>
                <w:color w:val="auto"/>
                <w:sz w:val="22"/>
                <w:szCs w:val="22"/>
              </w:rPr>
              <w:t>aumentato degli interessi legali calcolati per un biennio, con scadenza non inferiore a 32 trentadue mesi dalla data di ultimazione dei lavori.</w:t>
            </w:r>
          </w:p>
        </w:tc>
      </w:tr>
      <w:tr w:rsidR="00746BEA">
        <w:tc>
          <w:tcPr>
            <w:tcW w:w="420" w:type="dxa"/>
            <w:gridSpan w:val="2"/>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7.</w:t>
            </w:r>
          </w:p>
        </w:tc>
        <w:tc>
          <w:tcPr>
            <w:tcW w:w="9486" w:type="dxa"/>
            <w:tcBorders>
              <w:top w:val="nil"/>
              <w:left w:val="nil"/>
              <w:bottom w:val="nil"/>
              <w:right w:val="nil"/>
            </w:tcBorders>
          </w:tcPr>
          <w:p w:rsidR="00746BEA" w:rsidRDefault="00746BE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color w:val="auto"/>
                <w:sz w:val="22"/>
                <w:szCs w:val="22"/>
                <w:lang w:val="x-none" w:eastAsia="x-none"/>
              </w:rPr>
            </w:pPr>
            <w:r>
              <w:rPr>
                <w:rFonts w:ascii="Calibri" w:hAnsi="Calibri" w:cs="Calibri"/>
                <w:color w:val="auto"/>
                <w:sz w:val="22"/>
                <w:szCs w:val="22"/>
                <w:lang w:val="x-none" w:eastAsia="x-none"/>
              </w:rPr>
              <w:t>Salvo quanto disposto dall'articolo 1669 del codice civile, l'appaltatore risponde per la difformità ed i vizi dell'opera, ancorché riconoscibili, purché denunciati dal soggetto appaltante prima che il certificato di collaudo o il certificato di regolare esecuzione assuma carattere definitivo.</w:t>
            </w:r>
          </w:p>
        </w:tc>
      </w:tr>
      <w:tr w:rsidR="00746BEA">
        <w:tc>
          <w:tcPr>
            <w:tcW w:w="420" w:type="dxa"/>
            <w:gridSpan w:val="2"/>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8.</w:t>
            </w:r>
          </w:p>
        </w:tc>
        <w:tc>
          <w:tcPr>
            <w:tcW w:w="9486" w:type="dxa"/>
            <w:tcBorders>
              <w:top w:val="nil"/>
              <w:left w:val="nil"/>
              <w:bottom w:val="nil"/>
              <w:right w:val="nil"/>
            </w:tcBorders>
          </w:tcPr>
          <w:p w:rsidR="00746BEA" w:rsidRDefault="00746BE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color w:val="auto"/>
                <w:sz w:val="22"/>
                <w:szCs w:val="22"/>
                <w:lang w:val="x-none" w:eastAsia="x-none"/>
              </w:rPr>
            </w:pPr>
            <w:r>
              <w:rPr>
                <w:rFonts w:ascii="Calibri" w:hAnsi="Calibri" w:cs="Calibri"/>
                <w:color w:val="auto"/>
                <w:sz w:val="22"/>
                <w:szCs w:val="22"/>
                <w:lang w:val="x-none" w:eastAsia="x-none"/>
              </w:rPr>
              <w:t xml:space="preserve">In caso di ritardo nella emissione dei certificati di pagamento o dei titoli di spesa relativi agli acconti e alla rata di saldo rispetto alle condizioni e ai termini stabiliti nel capitolato speciale di appalto, spettano all'esecutore dei lavori gli interessi, legali e moratori ai sensi del D. </w:t>
            </w:r>
            <w:proofErr w:type="spellStart"/>
            <w:r>
              <w:rPr>
                <w:rFonts w:ascii="Calibri" w:hAnsi="Calibri" w:cs="Calibri"/>
                <w:color w:val="auto"/>
                <w:sz w:val="22"/>
                <w:szCs w:val="22"/>
                <w:lang w:val="x-none" w:eastAsia="x-none"/>
              </w:rPr>
              <w:t>Lgs</w:t>
            </w:r>
            <w:proofErr w:type="spellEnd"/>
            <w:r>
              <w:rPr>
                <w:rFonts w:ascii="Calibri" w:hAnsi="Calibri" w:cs="Calibri"/>
                <w:color w:val="auto"/>
                <w:sz w:val="22"/>
                <w:szCs w:val="22"/>
                <w:lang w:val="x-none" w:eastAsia="x-none"/>
              </w:rPr>
              <w:t>. 231/2002.</w:t>
            </w:r>
          </w:p>
        </w:tc>
      </w:tr>
      <w:tr w:rsidR="00746BEA">
        <w:tc>
          <w:tcPr>
            <w:tcW w:w="420" w:type="dxa"/>
            <w:gridSpan w:val="2"/>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9.</w:t>
            </w:r>
          </w:p>
        </w:tc>
        <w:tc>
          <w:tcPr>
            <w:tcW w:w="9486" w:type="dxa"/>
            <w:tcBorders>
              <w:top w:val="nil"/>
              <w:left w:val="nil"/>
              <w:bottom w:val="nil"/>
              <w:right w:val="nil"/>
            </w:tcBorders>
          </w:tcPr>
          <w:p w:rsidR="00746BEA" w:rsidRDefault="00746BE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color w:val="auto"/>
                <w:sz w:val="22"/>
                <w:szCs w:val="22"/>
                <w:lang w:val="x-none" w:eastAsia="x-none"/>
              </w:rPr>
            </w:pPr>
            <w:r>
              <w:rPr>
                <w:rFonts w:ascii="Calibri" w:hAnsi="Calibri" w:cs="Calibri"/>
                <w:color w:val="auto"/>
                <w:sz w:val="22"/>
                <w:szCs w:val="22"/>
                <w:lang w:val="x-none" w:eastAsia="x-none"/>
              </w:rPr>
              <w:t>Trascorsi i termini per l'emissione del certificato di pagamento o del titolo di spesa, o nel caso in cui l'ammontare delle rate di acconto raggiunga il quarto dell'importo netto contrattuale, l'appaltatore ha facoltà di agire ai sensi dell'articolo 1460 del codice civile.</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10 - Revisione dei prezzi</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60"/>
        <w:gridCol w:w="425"/>
        <w:gridCol w:w="9055"/>
      </w:tblGrid>
      <w:tr w:rsidR="00746BEA">
        <w:tc>
          <w:tcPr>
            <w:tcW w:w="366" w:type="dxa"/>
            <w:tcBorders>
              <w:top w:val="nil"/>
              <w:left w:val="nil"/>
              <w:bottom w:val="nil"/>
              <w:right w:val="nil"/>
            </w:tcBorders>
            <w:tcMar>
              <w:right w:w="85" w:type="dxa"/>
            </w:tcMar>
          </w:tcPr>
          <w:p w:rsidR="00746BEA" w:rsidRDefault="00746B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Calibri" w:hAnsi="Calibri" w:cs="Calibri"/>
                <w:sz w:val="22"/>
                <w:szCs w:val="22"/>
              </w:rPr>
            </w:pPr>
            <w:r>
              <w:rPr>
                <w:rFonts w:ascii="Calibri" w:hAnsi="Calibri" w:cs="Calibri"/>
                <w:sz w:val="22"/>
                <w:szCs w:val="22"/>
              </w:rPr>
              <w:t>1.</w:t>
            </w:r>
          </w:p>
        </w:tc>
        <w:tc>
          <w:tcPr>
            <w:tcW w:w="9540" w:type="dxa"/>
            <w:gridSpan w:val="3"/>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Le variazioni di prezzo in aumento o in diminuzione saranno valutate secondo le clausole previste nei documenti di gara iniziali. Tali clausole fissano la portata e la natura di eventuali modifiche nonché le condizioni alle quali esse possono essere impiegate, facendo riferimento alle variazione dei prezzi e dei costi standard, ove definiti.</w:t>
            </w:r>
          </w:p>
        </w:tc>
      </w:tr>
      <w:tr w:rsidR="00746BEA">
        <w:tc>
          <w:tcPr>
            <w:tcW w:w="366" w:type="dxa"/>
            <w:tcBorders>
              <w:top w:val="nil"/>
              <w:left w:val="nil"/>
              <w:bottom w:val="nil"/>
              <w:right w:val="nil"/>
            </w:tcBorders>
            <w:tcMar>
              <w:right w:w="85" w:type="dxa"/>
            </w:tcMar>
          </w:tcPr>
          <w:p w:rsidR="00746BEA" w:rsidRDefault="00746B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Calibri" w:hAnsi="Calibri" w:cs="Calibri"/>
                <w:sz w:val="22"/>
                <w:szCs w:val="22"/>
              </w:rPr>
            </w:pPr>
            <w:r>
              <w:rPr>
                <w:rFonts w:ascii="Calibri" w:hAnsi="Calibri" w:cs="Calibri"/>
                <w:sz w:val="22"/>
                <w:szCs w:val="22"/>
              </w:rPr>
              <w:t>2.</w:t>
            </w:r>
          </w:p>
        </w:tc>
        <w:tc>
          <w:tcPr>
            <w:tcW w:w="9540" w:type="dxa"/>
            <w:gridSpan w:val="3"/>
            <w:tcBorders>
              <w:top w:val="nil"/>
              <w:left w:val="nil"/>
              <w:bottom w:val="nil"/>
              <w:right w:val="nil"/>
            </w:tcBorders>
          </w:tcPr>
          <w:p w:rsidR="00746BEA" w:rsidRDefault="00746BEA" w:rsidP="00B22DA8">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Le variazioni di prezzo in aumento o in diminuzione saranno valutate, sulla base dei prezzari di cui all'articolo 23, comma 7 de</w:t>
            </w:r>
            <w:r w:rsidR="00B22DA8">
              <w:rPr>
                <w:rFonts w:ascii="Calibri" w:hAnsi="Calibri" w:cs="Calibri"/>
                <w:sz w:val="22"/>
                <w:szCs w:val="22"/>
              </w:rPr>
              <w:t>l codice dei contratti pubblici</w:t>
            </w:r>
            <w:r>
              <w:rPr>
                <w:rFonts w:ascii="Calibri" w:hAnsi="Calibri" w:cs="Calibri"/>
                <w:sz w:val="22"/>
                <w:szCs w:val="22"/>
              </w:rPr>
              <w:t>.</w:t>
            </w:r>
          </w:p>
        </w:tc>
      </w:tr>
      <w:tr w:rsidR="00746BEA">
        <w:tc>
          <w:tcPr>
            <w:tcW w:w="366" w:type="dxa"/>
            <w:tcBorders>
              <w:top w:val="nil"/>
              <w:left w:val="nil"/>
              <w:bottom w:val="nil"/>
              <w:right w:val="nil"/>
            </w:tcBorders>
            <w:tcMar>
              <w:right w:w="85" w:type="dxa"/>
            </w:tcMar>
          </w:tcPr>
          <w:p w:rsidR="00746BEA" w:rsidRDefault="00746B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Calibri" w:hAnsi="Calibri" w:cs="Calibri"/>
                <w:sz w:val="22"/>
                <w:szCs w:val="22"/>
              </w:rPr>
            </w:pPr>
            <w:r>
              <w:rPr>
                <w:rFonts w:ascii="Calibri" w:hAnsi="Calibri" w:cs="Calibri"/>
                <w:sz w:val="22"/>
                <w:szCs w:val="22"/>
              </w:rPr>
              <w:t>3.</w:t>
            </w:r>
          </w:p>
        </w:tc>
        <w:tc>
          <w:tcPr>
            <w:tcW w:w="9540" w:type="dxa"/>
            <w:gridSpan w:val="3"/>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Al presente Contratto si applicano integralmente le disposizioni di cui all’art. 29 del Decreto-legge 27 gennaio 2022, n. 4, in particolare si evidenzia che:</w:t>
            </w:r>
          </w:p>
        </w:tc>
      </w:tr>
      <w:tr w:rsidR="00746BEA">
        <w:trPr>
          <w:gridBefore w:val="2"/>
          <w:wBefore w:w="426" w:type="dxa"/>
        </w:trPr>
        <w:tc>
          <w:tcPr>
            <w:tcW w:w="425" w:type="dxa"/>
            <w:tcBorders>
              <w:top w:val="nil"/>
              <w:left w:val="nil"/>
              <w:bottom w:val="nil"/>
              <w:right w:val="nil"/>
            </w:tcBorders>
            <w:tcMar>
              <w:right w:w="85" w:type="dxa"/>
            </w:tcMar>
          </w:tcPr>
          <w:p w:rsidR="00746BEA" w:rsidRDefault="00746B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Calibri" w:hAnsi="Calibri" w:cs="Calibri"/>
                <w:sz w:val="22"/>
                <w:szCs w:val="22"/>
              </w:rPr>
            </w:pPr>
            <w:r>
              <w:rPr>
                <w:rFonts w:ascii="Calibri" w:hAnsi="Calibri" w:cs="Calibri"/>
                <w:sz w:val="22"/>
                <w:szCs w:val="22"/>
              </w:rPr>
              <w:t>a)</w:t>
            </w:r>
          </w:p>
        </w:tc>
        <w:tc>
          <w:tcPr>
            <w:tcW w:w="9055"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Le variazioni di prezzo dei singoli materiali da costruzione, in aumento o in diminuzione, sono valutate dalla stazione appaltante soltanto se tali variazioni risultano superiori al cinque per cento rispetto al prezzo, rilevato nell’anno di presentazione dell’offerta, anche tenendo conto di quanto previsto dal decreto del Ministero delle infrastrutture e della mobilità sostenibili di cui al comma 2, secondo periodo.</w:t>
            </w:r>
          </w:p>
        </w:tc>
      </w:tr>
      <w:tr w:rsidR="00746BEA">
        <w:trPr>
          <w:gridBefore w:val="2"/>
          <w:wBefore w:w="426" w:type="dxa"/>
        </w:trPr>
        <w:tc>
          <w:tcPr>
            <w:tcW w:w="425" w:type="dxa"/>
            <w:tcBorders>
              <w:top w:val="nil"/>
              <w:left w:val="nil"/>
              <w:bottom w:val="nil"/>
              <w:right w:val="nil"/>
            </w:tcBorders>
            <w:tcMar>
              <w:right w:w="85" w:type="dxa"/>
            </w:tcMar>
          </w:tcPr>
          <w:p w:rsidR="00746BEA" w:rsidRDefault="00746B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Calibri" w:hAnsi="Calibri" w:cs="Calibri"/>
                <w:sz w:val="22"/>
                <w:szCs w:val="22"/>
              </w:rPr>
            </w:pPr>
            <w:r>
              <w:rPr>
                <w:rFonts w:ascii="Calibri" w:hAnsi="Calibri" w:cs="Calibri"/>
                <w:sz w:val="22"/>
                <w:szCs w:val="22"/>
              </w:rPr>
              <w:t>b)</w:t>
            </w:r>
          </w:p>
        </w:tc>
        <w:tc>
          <w:tcPr>
            <w:tcW w:w="9055"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In tal caso si procede a compensazione, in aumento o in diminuzione, per la percentuale eccedente il cinque per cento e comunque in misura pari all’80 per cento di detta eccedenza, nel limite delle risorse di cui al comma 7</w:t>
            </w:r>
          </w:p>
        </w:tc>
      </w:tr>
      <w:tr w:rsidR="00746BEA">
        <w:trPr>
          <w:gridBefore w:val="2"/>
          <w:wBefore w:w="426" w:type="dxa"/>
        </w:trPr>
        <w:tc>
          <w:tcPr>
            <w:tcW w:w="425" w:type="dxa"/>
            <w:tcBorders>
              <w:top w:val="nil"/>
              <w:left w:val="nil"/>
              <w:bottom w:val="nil"/>
              <w:right w:val="nil"/>
            </w:tcBorders>
            <w:tcMar>
              <w:right w:w="85" w:type="dxa"/>
            </w:tcMar>
          </w:tcPr>
          <w:p w:rsidR="00746BEA" w:rsidRDefault="00746B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right"/>
              <w:rPr>
                <w:rFonts w:ascii="Calibri" w:hAnsi="Calibri" w:cs="Calibri"/>
                <w:sz w:val="22"/>
                <w:szCs w:val="22"/>
              </w:rPr>
            </w:pPr>
            <w:r>
              <w:rPr>
                <w:rFonts w:ascii="Calibri" w:hAnsi="Calibri" w:cs="Calibri"/>
                <w:sz w:val="22"/>
                <w:szCs w:val="22"/>
              </w:rPr>
              <w:t>c)</w:t>
            </w:r>
          </w:p>
        </w:tc>
        <w:tc>
          <w:tcPr>
            <w:tcW w:w="9055"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La compensazione è determinata applicando la percentuale di variazione che eccede il cinque per cento al prezzo dei singoli materiali da costruzione impiegati nelle lavorazioni contabilizzate nei dodici mesi precedenti al decreto di cui al comma 2, secondo periodo, e nelle quantità accertate dal direttore dei lavori.</w:t>
            </w:r>
          </w:p>
        </w:tc>
      </w:tr>
      <w:tr w:rsidR="00746BEA">
        <w:trPr>
          <w:gridBefore w:val="2"/>
          <w:wBefore w:w="426" w:type="dxa"/>
        </w:trPr>
        <w:tc>
          <w:tcPr>
            <w:tcW w:w="425" w:type="dxa"/>
            <w:tcBorders>
              <w:top w:val="nil"/>
              <w:left w:val="nil"/>
              <w:bottom w:val="nil"/>
              <w:right w:val="nil"/>
            </w:tcBorders>
            <w:tcMar>
              <w:right w:w="85" w:type="dxa"/>
            </w:tcMar>
          </w:tcPr>
          <w:p w:rsidR="00746BEA" w:rsidRDefault="00746BEA">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lastRenderedPageBreak/>
              <w:t>d)</w:t>
            </w:r>
          </w:p>
        </w:tc>
        <w:tc>
          <w:tcPr>
            <w:tcW w:w="9055"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 xml:space="preserve">A pena di decadenza, l’appaltatore presenta alla stazione appaltante l’istanza di compensazione, ai sensi del comma 1, lettera b), entro sessanta giorni dalla data di pubblicazione nella Gazzetta Ufficiale della Repubblica periodo esclusivamente per i lavori eseguiti nel rispetto dei termini indicati nel relativo cronoprogramma. </w:t>
            </w:r>
          </w:p>
        </w:tc>
      </w:tr>
      <w:tr w:rsidR="00746BEA">
        <w:trPr>
          <w:gridBefore w:val="2"/>
          <w:wBefore w:w="426" w:type="dxa"/>
        </w:trPr>
        <w:tc>
          <w:tcPr>
            <w:tcW w:w="425" w:type="dxa"/>
            <w:tcBorders>
              <w:top w:val="nil"/>
              <w:left w:val="nil"/>
              <w:bottom w:val="nil"/>
              <w:right w:val="nil"/>
            </w:tcBorders>
            <w:tcMar>
              <w:right w:w="85" w:type="dxa"/>
            </w:tcMar>
          </w:tcPr>
          <w:p w:rsidR="00746BEA" w:rsidRDefault="00746BEA">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e)</w:t>
            </w:r>
          </w:p>
        </w:tc>
        <w:tc>
          <w:tcPr>
            <w:tcW w:w="9055"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Il direttore dei lavori della stazione appaltante verifica l’eventuale effettiva maggiore onerosità subita dall’esecutore, e da quest’ultimo provata con adeguata documentazione, ivi compresa la dichiarazione di fornitori o subcontraenti o con altri idonei mezzi di prova relativi alle variazioni, per i materiali da costruzione, del prezzo elementare dei materiali da costruzione pagato dall’esecutore, rispetto a quello documentato dallo stesso con riferimento al momento dell’offerta.</w:t>
            </w:r>
          </w:p>
        </w:tc>
      </w:tr>
      <w:tr w:rsidR="00746BEA">
        <w:trPr>
          <w:gridBefore w:val="2"/>
          <w:wBefore w:w="426" w:type="dxa"/>
        </w:trPr>
        <w:tc>
          <w:tcPr>
            <w:tcW w:w="425" w:type="dxa"/>
            <w:tcBorders>
              <w:top w:val="nil"/>
              <w:left w:val="nil"/>
              <w:bottom w:val="nil"/>
              <w:right w:val="nil"/>
            </w:tcBorders>
            <w:tcMar>
              <w:right w:w="85" w:type="dxa"/>
            </w:tcMar>
          </w:tcPr>
          <w:p w:rsidR="00746BEA" w:rsidRDefault="00746BEA">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f)</w:t>
            </w:r>
          </w:p>
        </w:tc>
        <w:tc>
          <w:tcPr>
            <w:tcW w:w="9055"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Il direttore dei lavori verifica altresì che l’esecuzione dei lavori sia avvenuta nel rispetto dei termini indicati nel cronoprogramma. Laddove la maggiore onerosità provata dall’esecutore sia relativa ad una variazione percentuale inferiore a quella riportata nel decreto di cui al secondo periodo del comma 2, la compensazione è riconosciuta limitatamente alla predetta inferiore variazione e per la sola parte eccedente il cinque per cento e in misura pari all’80 per cento di detta eccedenza.</w:t>
            </w:r>
          </w:p>
        </w:tc>
      </w:tr>
      <w:tr w:rsidR="00746BEA">
        <w:trPr>
          <w:gridBefore w:val="2"/>
          <w:wBefore w:w="426" w:type="dxa"/>
        </w:trPr>
        <w:tc>
          <w:tcPr>
            <w:tcW w:w="425" w:type="dxa"/>
            <w:tcBorders>
              <w:top w:val="nil"/>
              <w:left w:val="nil"/>
              <w:bottom w:val="nil"/>
              <w:right w:val="nil"/>
            </w:tcBorders>
            <w:tcMar>
              <w:right w:w="85" w:type="dxa"/>
            </w:tcMar>
          </w:tcPr>
          <w:p w:rsidR="00746BEA" w:rsidRDefault="00746BEA">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g)</w:t>
            </w:r>
          </w:p>
        </w:tc>
        <w:tc>
          <w:tcPr>
            <w:tcW w:w="9055"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Ove sia provata dall’esecutore una maggiore onerosità relativa ad una variazione percentuale superiore a quella riportata nel predetto decreto, la compensazione è riconosciuta nel limite massimo pari alla variazione riportata nel decreto di cui al citato comma 2, secondo periodo, per la sola parte eccedente il cinque per cento e in misura pari all’80 per cento di detta eccedenza.</w:t>
            </w:r>
          </w:p>
        </w:tc>
      </w:tr>
      <w:tr w:rsidR="00746BEA">
        <w:trPr>
          <w:gridBefore w:val="2"/>
          <w:wBefore w:w="426" w:type="dxa"/>
        </w:trPr>
        <w:tc>
          <w:tcPr>
            <w:tcW w:w="425" w:type="dxa"/>
            <w:tcBorders>
              <w:top w:val="nil"/>
              <w:left w:val="nil"/>
              <w:bottom w:val="nil"/>
              <w:right w:val="nil"/>
            </w:tcBorders>
            <w:tcMar>
              <w:right w:w="85" w:type="dxa"/>
            </w:tcMar>
          </w:tcPr>
          <w:p w:rsidR="00746BEA" w:rsidRDefault="00746BEA">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h)</w:t>
            </w:r>
          </w:p>
        </w:tc>
        <w:tc>
          <w:tcPr>
            <w:tcW w:w="9055"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Sono esclusi dalla compensazione i lavori contabilizzati nell’anno solare di presentazione dell’offerta</w:t>
            </w:r>
          </w:p>
        </w:tc>
      </w:tr>
      <w:tr w:rsidR="00746BEA">
        <w:trPr>
          <w:gridBefore w:val="2"/>
          <w:wBefore w:w="426" w:type="dxa"/>
        </w:trPr>
        <w:tc>
          <w:tcPr>
            <w:tcW w:w="425" w:type="dxa"/>
            <w:tcBorders>
              <w:top w:val="nil"/>
              <w:left w:val="nil"/>
              <w:bottom w:val="nil"/>
              <w:right w:val="nil"/>
            </w:tcBorders>
            <w:tcMar>
              <w:right w:w="85" w:type="dxa"/>
            </w:tcMar>
          </w:tcPr>
          <w:p w:rsidR="00746BEA" w:rsidRDefault="00746BEA">
            <w:pPr>
              <w:tabs>
                <w:tab w:val="left" w:pos="720"/>
                <w:tab w:val="left" w:pos="1440"/>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i)</w:t>
            </w:r>
          </w:p>
        </w:tc>
        <w:tc>
          <w:tcPr>
            <w:tcW w:w="9055"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La compensazione non è soggetta al ribasso d’asta ed è al netto delle eventuali compensazioni precedentemente accordate.</w:t>
            </w:r>
          </w:p>
        </w:tc>
      </w:tr>
      <w:tr w:rsidR="00746BEA">
        <w:tc>
          <w:tcPr>
            <w:tcW w:w="366" w:type="dxa"/>
            <w:tcBorders>
              <w:top w:val="nil"/>
              <w:left w:val="nil"/>
              <w:bottom w:val="nil"/>
              <w:right w:val="nil"/>
            </w:tcBorders>
            <w:tcMar>
              <w:right w:w="85" w:type="dxa"/>
            </w:tcMar>
          </w:tcPr>
          <w:p w:rsidR="00746BEA" w:rsidRDefault="00746BEA">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4.</w:t>
            </w:r>
          </w:p>
        </w:tc>
        <w:tc>
          <w:tcPr>
            <w:tcW w:w="9540" w:type="dxa"/>
            <w:gridSpan w:val="3"/>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Per quanto non espressamente indicato trovano applicazione limiti e le disposizioni di cui all'art. 106   del codice dei contratti e dell’articolo 29 del Decreto-legge 27 gennaio 2022, n. 4.</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11 - Variazione del progetto e del corrispettivo</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Ai sensi dell'articolo 106 del codice degli appalti, i contratti possono essere modificati secondo le modalità previste nei documenti di gara iniziali e comunque secondo le condizioni di cui al comma 1 e comma 2 del medesimo articolo.</w:t>
            </w:r>
          </w:p>
        </w:tc>
      </w:tr>
      <w:tr w:rsidR="00746BEA">
        <w:tc>
          <w:tcPr>
            <w:tcW w:w="366" w:type="dxa"/>
            <w:tcBorders>
              <w:top w:val="nil"/>
              <w:left w:val="nil"/>
              <w:bottom w:val="nil"/>
              <w:right w:val="nil"/>
            </w:tcBorders>
            <w:tcMar>
              <w:right w:w="85" w:type="dxa"/>
            </w:tcMar>
          </w:tcPr>
          <w:p w:rsidR="00746BEA" w:rsidRDefault="00746BEA">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right"/>
              <w:rPr>
                <w:rFonts w:ascii="Calibri" w:hAnsi="Calibri" w:cs="Calibri"/>
                <w:sz w:val="22"/>
                <w:szCs w:val="22"/>
              </w:rPr>
            </w:pPr>
            <w:r>
              <w:rPr>
                <w:rFonts w:ascii="Calibri" w:hAnsi="Calibri" w:cs="Calibri"/>
                <w:sz w:val="22"/>
                <w:szCs w:val="22"/>
              </w:rPr>
              <w:t>2.</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Le modifiche in contrasto con le disposizioni di cui al comma 1 del presente articolo saranno possibili mediante nuova procedura di appalto.</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3.</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lang w:val="x-none" w:eastAsia="x-none"/>
              </w:rPr>
            </w:pPr>
            <w:r>
              <w:rPr>
                <w:rFonts w:ascii="Calibri" w:hAnsi="Calibri" w:cs="Calibri"/>
                <w:sz w:val="22"/>
                <w:szCs w:val="22"/>
                <w:lang w:val="x-none" w:eastAsia="x-none"/>
              </w:rPr>
              <w:t>Il contratto può essere modificato</w:t>
            </w:r>
            <w:r>
              <w:rPr>
                <w:rFonts w:ascii="Calibri" w:hAnsi="Calibri" w:cs="Calibri"/>
                <w:sz w:val="22"/>
                <w:szCs w:val="22"/>
              </w:rPr>
              <w:t xml:space="preserve"> anche a causa di errori o di omissioni del progetto esecutivo che pregiudicano, in tutto o in parte, la realizzazione dell'opera o la sua utilizzazione, senza necessità di una nuova procedura, se il valore della modifica è contemporaneamente al di sotto delle soglie di rilevanza comunitaria definite all'art. 35 del codice degli appalti e al 15 per cento del valore iniziale del contratto.</w:t>
            </w:r>
          </w:p>
        </w:tc>
      </w:tr>
      <w:tr w:rsidR="00746BEA">
        <w:tc>
          <w:tcPr>
            <w:tcW w:w="366" w:type="dxa"/>
            <w:tcBorders>
              <w:top w:val="nil"/>
              <w:left w:val="nil"/>
              <w:bottom w:val="nil"/>
              <w:right w:val="nil"/>
            </w:tcBorders>
            <w:tcMar>
              <w:right w:w="85" w:type="dxa"/>
            </w:tcMar>
          </w:tcPr>
          <w:p w:rsidR="00746BEA" w:rsidRDefault="00746BEA">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right"/>
              <w:rPr>
                <w:rFonts w:ascii="Calibri" w:hAnsi="Calibri" w:cs="Calibri"/>
                <w:sz w:val="22"/>
                <w:szCs w:val="22"/>
              </w:rPr>
            </w:pPr>
            <w:r>
              <w:rPr>
                <w:rFonts w:ascii="Calibri" w:hAnsi="Calibri" w:cs="Calibri"/>
                <w:sz w:val="22"/>
                <w:szCs w:val="22"/>
              </w:rPr>
              <w:t>4.</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Le varianti in corso d'opera sono comunicate dal RUP all'Osservatorio di cui all'articolo 213 del codice dei contratti, tramite le sezioni regionali, entro trenta giorni dall'approvazione da parte della stazione appaltante per le valutazioni e gli eventuali provvedimenti di competenza.</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12 - Collaudo dei lavori e regolare esecuzione</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lang w:val="x-none" w:eastAsia="x-none"/>
              </w:rPr>
            </w:pPr>
            <w:r>
              <w:rPr>
                <w:rFonts w:ascii="Calibri" w:hAnsi="Calibri" w:cs="Calibri"/>
                <w:sz w:val="22"/>
                <w:szCs w:val="22"/>
                <w:lang w:val="x-none" w:eastAsia="x-none"/>
              </w:rPr>
              <w:t>Il certificato di collaudo, da approvare da parte della stazione appaltante, sarà emesso entro 6 mesi dalla data di ultimazione dei lavori.  Il certificato di collaudo ha carattere provvisorio e assume carattere definitivo decorsi due anni dall'emissione del medesimo. Decorso tale termine, il collaudo si intende tacitamente approvato ancorché l'atto formale di approvazione non sia intervenuto entro due mesi dalla scadenza del medesimo termine.</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2.</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lang w:val="x-none" w:eastAsia="x-none"/>
              </w:rPr>
            </w:pPr>
            <w:r>
              <w:rPr>
                <w:rFonts w:ascii="Calibri" w:hAnsi="Calibri" w:cs="Calibri"/>
                <w:sz w:val="22"/>
                <w:szCs w:val="22"/>
                <w:lang w:val="x-none" w:eastAsia="x-none"/>
              </w:rPr>
              <w:t>Salvo quanto disposto dall'articolo 1669 del codice civile, l'appaltatore risponde per la difformità ed i vizi dell'opera, ancorché riconoscibili, purché denunciati dalla stazione appaltante prima che il certificato di cui al comma 1 assuma carattere definitivo.</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13 - Modalità di soluzione delle controversie</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lang w:val="x-none" w:eastAsia="x-none"/>
              </w:rPr>
            </w:pPr>
            <w:r>
              <w:rPr>
                <w:rFonts w:ascii="Calibri" w:hAnsi="Calibri" w:cs="Calibri"/>
                <w:sz w:val="22"/>
                <w:szCs w:val="22"/>
                <w:lang w:val="x-none" w:eastAsia="x-none"/>
              </w:rPr>
              <w:t>1.</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lang w:val="x-none" w:eastAsia="x-none"/>
              </w:rPr>
            </w:pPr>
            <w:r>
              <w:rPr>
                <w:rFonts w:ascii="Calibri" w:hAnsi="Calibri" w:cs="Calibri"/>
                <w:sz w:val="22"/>
                <w:szCs w:val="22"/>
                <w:lang w:val="x-none" w:eastAsia="x-none"/>
              </w:rPr>
              <w:t xml:space="preserve">Se sono iscritte riserve sui documenti contabili per un importo compreso fra il 5% e il 15% dell'importo contrattuale, il responsabile del procedimento, valutata l'ammissibilità e la non manifesta infondatezza delle </w:t>
            </w:r>
            <w:r>
              <w:rPr>
                <w:rFonts w:ascii="Calibri" w:hAnsi="Calibri" w:cs="Calibri"/>
                <w:sz w:val="22"/>
                <w:szCs w:val="22"/>
                <w:lang w:val="x-none" w:eastAsia="x-none"/>
              </w:rPr>
              <w:lastRenderedPageBreak/>
              <w:t>riserve, promuove l'accordo bonario per la risoluzione delle riserve iscritte prima dell'approvazione del certificato di collaudo.</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lastRenderedPageBreak/>
              <w:t>2.</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lang w:val="x-none" w:eastAsia="x-none"/>
              </w:rPr>
            </w:pPr>
            <w:r>
              <w:rPr>
                <w:rFonts w:ascii="Calibri" w:hAnsi="Calibri" w:cs="Calibri"/>
                <w:sz w:val="22"/>
                <w:szCs w:val="22"/>
                <w:lang w:val="x-none" w:eastAsia="x-none"/>
              </w:rPr>
              <w:t>L'Appaltatore terrà sollevata ed indenne l'Amministrazione Appaltante da ogni controversia (comprese quelle relative a risarcimento danni) e conseguenti eventuali oneri che possono derivare da contestazioni, richieste, ecc. da parte di terzi, in ordine alla esecuzione dei lavori.</w:t>
            </w:r>
          </w:p>
        </w:tc>
      </w:tr>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lang w:val="x-none" w:eastAsia="x-none"/>
              </w:rPr>
            </w:pPr>
            <w:r>
              <w:rPr>
                <w:rFonts w:ascii="Calibri" w:hAnsi="Calibri" w:cs="Calibri"/>
                <w:sz w:val="22"/>
                <w:szCs w:val="22"/>
                <w:lang w:val="x-none" w:eastAsia="x-none"/>
              </w:rPr>
              <w:t>3.</w:t>
            </w:r>
          </w:p>
        </w:tc>
        <w:tc>
          <w:tcPr>
            <w:tcW w:w="9540" w:type="dxa"/>
            <w:tcBorders>
              <w:top w:val="nil"/>
              <w:left w:val="nil"/>
              <w:bottom w:val="nil"/>
              <w:right w:val="nil"/>
            </w:tcBorders>
          </w:tcPr>
          <w:p w:rsidR="00B36371" w:rsidRDefault="00B36371" w:rsidP="00B36371">
            <w:pPr>
              <w:rPr>
                <w:rFonts w:ascii="Calibri" w:hAnsi="Calibri" w:cs="Calibri"/>
                <w:sz w:val="22"/>
                <w:szCs w:val="22"/>
              </w:rPr>
            </w:pPr>
            <w:r>
              <w:rPr>
                <w:rFonts w:ascii="Calibri" w:hAnsi="Calibri" w:cs="Calibri"/>
                <w:sz w:val="22"/>
                <w:szCs w:val="22"/>
              </w:rPr>
              <w:t>Tutte le controversie derivanti dall'esecuzione del contratto, comprese quelle derivanti dal mancato</w:t>
            </w:r>
          </w:p>
          <w:p w:rsidR="00B36371" w:rsidRDefault="00B36371" w:rsidP="00B36371">
            <w:pPr>
              <w:rPr>
                <w:rFonts w:ascii="Calibri" w:hAnsi="Calibri" w:cs="Calibri"/>
                <w:sz w:val="22"/>
                <w:szCs w:val="22"/>
              </w:rPr>
            </w:pPr>
            <w:r>
              <w:rPr>
                <w:rFonts w:ascii="Calibri" w:hAnsi="Calibri" w:cs="Calibri"/>
                <w:sz w:val="22"/>
                <w:szCs w:val="22"/>
              </w:rPr>
              <w:t>raggiungimento dell'accordo bonario di cui all'art.44 del presente capitolato, sono devolute all'autorit</w:t>
            </w:r>
            <w:r w:rsidR="004D360E" w:rsidRPr="004D360E">
              <w:rPr>
                <w:rFonts w:ascii="Calibri" w:hAnsi="Calibri" w:cs="Calibri"/>
                <w:color w:val="FF0000"/>
                <w:sz w:val="22"/>
                <w:szCs w:val="22"/>
              </w:rPr>
              <w:t>à</w:t>
            </w:r>
          </w:p>
          <w:p w:rsidR="00746BEA" w:rsidRDefault="00B36371" w:rsidP="00B3637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lang w:val="x-none" w:eastAsia="x-none"/>
              </w:rPr>
            </w:pPr>
            <w:r>
              <w:rPr>
                <w:rFonts w:ascii="Calibri" w:hAnsi="Calibri" w:cs="Calibri"/>
                <w:sz w:val="22"/>
                <w:szCs w:val="22"/>
              </w:rPr>
              <w:t xml:space="preserve">giudiziaria competente (foro di Novara) </w:t>
            </w:r>
            <w:r>
              <w:rPr>
                <w:rFonts w:ascii="Calibri,Bold" w:hAnsi="Calibri,Bold" w:cs="Calibri,Bold"/>
                <w:b/>
                <w:bCs/>
                <w:sz w:val="22"/>
                <w:szCs w:val="22"/>
              </w:rPr>
              <w:t>essendo esclusa la competenza arbitrale</w:t>
            </w:r>
            <w:r>
              <w:rPr>
                <w:rFonts w:ascii="Calibri" w:hAnsi="Calibri" w:cs="Calibri"/>
                <w:sz w:val="22"/>
                <w:szCs w:val="22"/>
              </w:rPr>
              <w:t>.</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14 - Risoluzione e recesso del contratto</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0"/>
        <w:gridCol w:w="261"/>
        <w:gridCol w:w="9193"/>
      </w:tblGrid>
      <w:tr w:rsidR="00746BEA">
        <w:tc>
          <w:tcPr>
            <w:tcW w:w="366" w:type="dxa"/>
            <w:tcBorders>
              <w:top w:val="nil"/>
              <w:left w:val="nil"/>
              <w:bottom w:val="nil"/>
              <w:right w:val="nil"/>
            </w:tcBorders>
            <w:tcMar>
              <w:right w:w="85" w:type="dxa"/>
            </w:tcMar>
          </w:tcPr>
          <w:p w:rsidR="00746BEA" w:rsidRDefault="00746BE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rPr>
            </w:pPr>
            <w:r>
              <w:rPr>
                <w:rFonts w:ascii="Calibri" w:hAnsi="Calibri" w:cs="Calibri"/>
                <w:sz w:val="22"/>
                <w:szCs w:val="22"/>
              </w:rPr>
              <w:t>1.</w:t>
            </w:r>
          </w:p>
        </w:tc>
        <w:tc>
          <w:tcPr>
            <w:tcW w:w="9544" w:type="dxa"/>
            <w:gridSpan w:val="3"/>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color w:val="000000"/>
                <w:sz w:val="22"/>
                <w:szCs w:val="22"/>
              </w:rPr>
              <w:t xml:space="preserve">Ai sensi dell'articolo 108, comma 1, del codice dei contratti, le stazioni appaltanti possono </w:t>
            </w:r>
            <w:r>
              <w:rPr>
                <w:rFonts w:ascii="Calibri" w:hAnsi="Calibri" w:cs="Calibri"/>
                <w:i/>
                <w:iCs/>
                <w:color w:val="000000"/>
                <w:sz w:val="22"/>
                <w:szCs w:val="22"/>
              </w:rPr>
              <w:t xml:space="preserve">risolvere </w:t>
            </w:r>
            <w:r>
              <w:rPr>
                <w:rFonts w:ascii="Calibri" w:hAnsi="Calibri" w:cs="Calibri"/>
                <w:color w:val="000000"/>
                <w:sz w:val="22"/>
                <w:szCs w:val="22"/>
              </w:rPr>
              <w:t xml:space="preserve">un contratto pubblico durante il periodo di validità dello stesso, se una o più delle seguenti condizioni sono soddisfatte: </w:t>
            </w:r>
          </w:p>
        </w:tc>
      </w:tr>
      <w:tr w:rsidR="00746BEA">
        <w:trPr>
          <w:gridBefore w:val="1"/>
          <w:wBefore w:w="366" w:type="dxa"/>
        </w:trPr>
        <w:tc>
          <w:tcPr>
            <w:tcW w:w="351" w:type="dxa"/>
            <w:gridSpan w:val="2"/>
            <w:tcBorders>
              <w:top w:val="nil"/>
              <w:left w:val="nil"/>
              <w:bottom w:val="nil"/>
              <w:right w:val="nil"/>
            </w:tcBorders>
            <w:tcMar>
              <w:right w:w="85" w:type="dxa"/>
            </w:tcMar>
          </w:tcPr>
          <w:p w:rsidR="00746BEA" w:rsidRDefault="00746BE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rPr>
            </w:pPr>
            <w:r>
              <w:rPr>
                <w:rFonts w:ascii="Calibri" w:hAnsi="Calibri" w:cs="Calibri"/>
                <w:sz w:val="22"/>
                <w:szCs w:val="22"/>
              </w:rPr>
              <w:t>a.</w:t>
            </w:r>
          </w:p>
        </w:tc>
        <w:tc>
          <w:tcPr>
            <w:tcW w:w="91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 xml:space="preserve">il contratto ha subito una modifica sostanziale che avrebbe richiesto una nuova procedura di appalto ai sensi dell'articolo 106 del codice dei contratti; </w:t>
            </w:r>
          </w:p>
        </w:tc>
      </w:tr>
      <w:tr w:rsidR="00746BEA">
        <w:trPr>
          <w:gridBefore w:val="1"/>
          <w:wBefore w:w="366" w:type="dxa"/>
        </w:trPr>
        <w:tc>
          <w:tcPr>
            <w:tcW w:w="351" w:type="dxa"/>
            <w:gridSpan w:val="2"/>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b.</w:t>
            </w:r>
          </w:p>
        </w:tc>
        <w:tc>
          <w:tcPr>
            <w:tcW w:w="91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 xml:space="preserve">con riferimento alle modificazioni di cui all'articolo 106, comma 1, lettere b) e c) del codice dei contratti sono state superate le soglie di cui al comma 7 del predetto articolo; con riferimento alle modificazioni di cui all'articolo 106, comma 1, lettera e) del predetto codice, sono state superate eventuali soglie stabilite dalle amministrazioni aggiudicatrici o dagli enti aggiudicatori; con riferimento alle modificazioni di cui all'articolo 106, comma 3, sono state superate le soglie di cui al medesimo comma 3, lettere a) e b); </w:t>
            </w:r>
          </w:p>
        </w:tc>
      </w:tr>
      <w:tr w:rsidR="00746BEA">
        <w:trPr>
          <w:gridBefore w:val="1"/>
          <w:wBefore w:w="366" w:type="dxa"/>
        </w:trPr>
        <w:tc>
          <w:tcPr>
            <w:tcW w:w="351" w:type="dxa"/>
            <w:gridSpan w:val="2"/>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c.</w:t>
            </w:r>
          </w:p>
        </w:tc>
        <w:tc>
          <w:tcPr>
            <w:tcW w:w="91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 xml:space="preserve">l'aggiudicatario o il concessionario si è trovato, al momento dell'aggiudicazione dell'appalto o della concessione, in una delle situazioni di cui all'articolo 80, comma 1, del codice dei contratti per quanto riguarda i settori ordinari e avrebbe dovuto pertanto essere escluso dalla procedura di appalto, ovvero ancora per quanto riguarda i settori speciali avrebbe dovuto essere escluso a norma dell'articolo 136, comma 1, secondo e terzo periodo, del codice dei contratti; </w:t>
            </w:r>
          </w:p>
        </w:tc>
      </w:tr>
      <w:tr w:rsidR="00746BEA">
        <w:trPr>
          <w:gridBefore w:val="1"/>
          <w:wBefore w:w="366" w:type="dxa"/>
        </w:trPr>
        <w:tc>
          <w:tcPr>
            <w:tcW w:w="351" w:type="dxa"/>
            <w:gridSpan w:val="2"/>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d.</w:t>
            </w:r>
          </w:p>
        </w:tc>
        <w:tc>
          <w:tcPr>
            <w:tcW w:w="91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 xml:space="preserve">l'appalto non avrebbe dovuto essere aggiudicato in considerazione di una grave violazione degli obblighi derivanti dai trattati, come riconosciuto dalla Corte di giustizia dell'Unione europea in un procedimento ai sensi dell'articolo 258 TFUE, o di una sentenza passata in giudicato per violazione delle norme contenute nel presente codice; </w:t>
            </w:r>
          </w:p>
        </w:tc>
      </w:tr>
      <w:tr w:rsidR="00746BEA">
        <w:tc>
          <w:tcPr>
            <w:tcW w:w="456" w:type="dxa"/>
            <w:gridSpan w:val="2"/>
            <w:tcBorders>
              <w:top w:val="nil"/>
              <w:left w:val="nil"/>
              <w:bottom w:val="nil"/>
              <w:right w:val="nil"/>
            </w:tcBorders>
            <w:tcMar>
              <w:right w:w="85" w:type="dxa"/>
            </w:tcMar>
          </w:tcPr>
          <w:p w:rsidR="00746BEA" w:rsidRDefault="00746BEA">
            <w:pPr>
              <w:widowControl w:val="0"/>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2.</w:t>
            </w:r>
          </w:p>
        </w:tc>
        <w:tc>
          <w:tcPr>
            <w:tcW w:w="9454" w:type="dxa"/>
            <w:gridSpan w:val="2"/>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Le stazioni appaltanti risolvono il contratto pubblico durante il periodo di efficacia dello stesso qualora:</w:t>
            </w:r>
          </w:p>
        </w:tc>
      </w:tr>
      <w:tr w:rsidR="00746BEA">
        <w:trPr>
          <w:gridBefore w:val="1"/>
          <w:wBefore w:w="366" w:type="dxa"/>
        </w:trPr>
        <w:tc>
          <w:tcPr>
            <w:tcW w:w="351" w:type="dxa"/>
            <w:gridSpan w:val="2"/>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a.</w:t>
            </w:r>
          </w:p>
        </w:tc>
        <w:tc>
          <w:tcPr>
            <w:tcW w:w="91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 xml:space="preserve">qualora nei confronti dell'appaltatore sia intervenuta la decadenza dell'attestazione di qualificazione per aver prodotto falsa documentazione o dichiarazioni mendaci; </w:t>
            </w:r>
          </w:p>
        </w:tc>
      </w:tr>
      <w:tr w:rsidR="00746BEA">
        <w:trPr>
          <w:gridBefore w:val="1"/>
          <w:wBefore w:w="366" w:type="dxa"/>
        </w:trPr>
        <w:tc>
          <w:tcPr>
            <w:tcW w:w="351" w:type="dxa"/>
            <w:gridSpan w:val="2"/>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b.</w:t>
            </w:r>
          </w:p>
        </w:tc>
        <w:tc>
          <w:tcPr>
            <w:tcW w:w="91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nei confronti dell'appaltatore sia intervenuto un provvedimento definitivo che dispone l'applicazione di una o più misure di prevenzione di cui al codice delle leggi antimafia e delle relative misure di prevenzione, ovvero sia intervenuta sentenza di condanna passata in giudicato per i reati di cui all'articolo 80 del codice dei contratti.</w:t>
            </w:r>
          </w:p>
        </w:tc>
      </w:tr>
      <w:tr w:rsidR="00746BEA">
        <w:tc>
          <w:tcPr>
            <w:tcW w:w="366" w:type="dxa"/>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right"/>
              <w:rPr>
                <w:rFonts w:ascii="Calibri" w:hAnsi="Calibri" w:cs="Calibri"/>
                <w:sz w:val="22"/>
                <w:szCs w:val="22"/>
              </w:rPr>
            </w:pPr>
            <w:r>
              <w:rPr>
                <w:rFonts w:ascii="Calibri" w:hAnsi="Calibri" w:cs="Calibri"/>
                <w:sz w:val="22"/>
                <w:szCs w:val="22"/>
              </w:rPr>
              <w:t>3.</w:t>
            </w:r>
          </w:p>
        </w:tc>
        <w:tc>
          <w:tcPr>
            <w:tcW w:w="9544" w:type="dxa"/>
            <w:gridSpan w:val="3"/>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Per la risoluzione e il recesso trovano applicazione le disposizioni del Capitolato Speciale d'Appalto e gli articoli 108 e 109 del codice dei contratti.</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15 - Gestione dei sinistri</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color w:val="000000"/>
              </w:rPr>
            </w:pPr>
            <w:r>
              <w:rPr>
                <w:rFonts w:ascii="Calibri" w:hAnsi="Calibri" w:cs="Calibri"/>
                <w:color w:val="000000"/>
                <w:sz w:val="22"/>
                <w:szCs w:val="22"/>
              </w:rPr>
              <w:t>1.</w:t>
            </w:r>
          </w:p>
        </w:tc>
        <w:tc>
          <w:tcPr>
            <w:tcW w:w="9540" w:type="dxa"/>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color w:val="000000"/>
                <w:sz w:val="22"/>
                <w:szCs w:val="22"/>
              </w:rPr>
            </w:pPr>
            <w:r>
              <w:rPr>
                <w:rFonts w:ascii="Calibri" w:hAnsi="Calibri" w:cs="Calibri"/>
                <w:color w:val="000000"/>
                <w:sz w:val="22"/>
                <w:szCs w:val="22"/>
              </w:rPr>
              <w:t xml:space="preserve">Nel caso in cui nel corso dell'esecuzione dei lavori si verifichino sinistri alle persone o danni alle proprietà, vale quanto </w:t>
            </w:r>
            <w:r w:rsidRPr="004D360E">
              <w:rPr>
                <w:rFonts w:ascii="Calibri" w:hAnsi="Calibri" w:cs="Calibri"/>
                <w:color w:val="FF0000"/>
                <w:sz w:val="22"/>
                <w:szCs w:val="22"/>
              </w:rPr>
              <w:t>di</w:t>
            </w:r>
            <w:r w:rsidR="004D360E" w:rsidRPr="004D360E">
              <w:rPr>
                <w:rFonts w:ascii="Calibri" w:hAnsi="Calibri" w:cs="Calibri"/>
                <w:color w:val="FF0000"/>
                <w:sz w:val="22"/>
                <w:szCs w:val="22"/>
              </w:rPr>
              <w:t>s</w:t>
            </w:r>
            <w:r w:rsidRPr="004D360E">
              <w:rPr>
                <w:rFonts w:ascii="Calibri" w:hAnsi="Calibri" w:cs="Calibri"/>
                <w:color w:val="FF0000"/>
                <w:sz w:val="22"/>
                <w:szCs w:val="22"/>
              </w:rPr>
              <w:t>posto</w:t>
            </w:r>
            <w:r>
              <w:rPr>
                <w:rFonts w:ascii="Calibri" w:hAnsi="Calibri" w:cs="Calibri"/>
                <w:color w:val="000000"/>
                <w:sz w:val="22"/>
                <w:szCs w:val="22"/>
              </w:rPr>
              <w:t xml:space="preserve"> dal Capitolato Speciale d'Appalto.</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16 - Obblighi appaltatore</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0"/>
        <w:gridCol w:w="6"/>
        <w:gridCol w:w="444"/>
        <w:gridCol w:w="9096"/>
      </w:tblGrid>
      <w:tr w:rsidR="00746BEA">
        <w:tc>
          <w:tcPr>
            <w:tcW w:w="366" w:type="dxa"/>
            <w:gridSpan w:val="2"/>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color w:val="000000"/>
                <w:sz w:val="22"/>
                <w:szCs w:val="22"/>
              </w:rPr>
            </w:pPr>
            <w:r>
              <w:rPr>
                <w:rFonts w:ascii="Calibri" w:hAnsi="Calibri" w:cs="Calibri"/>
                <w:color w:val="000000"/>
                <w:sz w:val="22"/>
                <w:szCs w:val="22"/>
              </w:rPr>
              <w:t>1.</w:t>
            </w:r>
          </w:p>
        </w:tc>
        <w:tc>
          <w:tcPr>
            <w:tcW w:w="9540" w:type="dxa"/>
            <w:gridSpan w:val="2"/>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 xml:space="preserve">In conformità alle disposizioni legislative di cui al D. </w:t>
            </w:r>
            <w:proofErr w:type="spellStart"/>
            <w:r>
              <w:rPr>
                <w:rFonts w:ascii="Calibri" w:hAnsi="Calibri" w:cs="Calibri"/>
                <w:color w:val="000000"/>
                <w:sz w:val="22"/>
                <w:szCs w:val="22"/>
              </w:rPr>
              <w:t>Lgs</w:t>
            </w:r>
            <w:proofErr w:type="spellEnd"/>
            <w:r>
              <w:rPr>
                <w:rFonts w:ascii="Calibri" w:hAnsi="Calibri" w:cs="Calibri"/>
                <w:color w:val="000000"/>
                <w:sz w:val="22"/>
                <w:szCs w:val="22"/>
              </w:rPr>
              <w:t xml:space="preserve">. 81/08 e </w:t>
            </w:r>
            <w:proofErr w:type="spellStart"/>
            <w:r>
              <w:rPr>
                <w:rFonts w:ascii="Calibri" w:hAnsi="Calibri" w:cs="Calibri"/>
                <w:color w:val="000000"/>
                <w:sz w:val="22"/>
                <w:szCs w:val="22"/>
              </w:rPr>
              <w:t>s.m.i.</w:t>
            </w:r>
            <w:proofErr w:type="spellEnd"/>
            <w:r>
              <w:rPr>
                <w:rFonts w:ascii="Calibri" w:hAnsi="Calibri" w:cs="Calibri"/>
                <w:color w:val="000000"/>
                <w:sz w:val="22"/>
                <w:szCs w:val="22"/>
              </w:rPr>
              <w:t xml:space="preserve"> l'appaltatore:</w:t>
            </w:r>
          </w:p>
        </w:tc>
      </w:tr>
      <w:tr w:rsidR="00746BEA">
        <w:trPr>
          <w:gridBefore w:val="1"/>
          <w:wBefore w:w="360" w:type="dxa"/>
        </w:trPr>
        <w:tc>
          <w:tcPr>
            <w:tcW w:w="450" w:type="dxa"/>
            <w:gridSpan w:val="2"/>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color w:val="000000"/>
                <w:sz w:val="22"/>
                <w:szCs w:val="22"/>
              </w:rPr>
            </w:pPr>
            <w:r>
              <w:rPr>
                <w:rFonts w:ascii="Calibri" w:hAnsi="Calibri" w:cs="Calibri"/>
                <w:color w:val="000000"/>
                <w:sz w:val="22"/>
                <w:szCs w:val="22"/>
              </w:rPr>
              <w:t>a.</w:t>
            </w:r>
          </w:p>
        </w:tc>
        <w:tc>
          <w:tcPr>
            <w:tcW w:w="9096"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 xml:space="preserve">ha depositato il Piano Operativo di Sicurezza del cantiere specifico quale piano complementare e di dettaglio al Piano di Sicurezza e coordinamento, realizzato ai sensi dell'art. 100 del </w:t>
            </w:r>
            <w:proofErr w:type="spellStart"/>
            <w:r>
              <w:rPr>
                <w:rFonts w:ascii="Calibri" w:hAnsi="Calibri" w:cs="Calibri"/>
                <w:color w:val="000000"/>
                <w:sz w:val="22"/>
                <w:szCs w:val="22"/>
              </w:rPr>
              <w:t>D.Lgs.</w:t>
            </w:r>
            <w:proofErr w:type="spellEnd"/>
            <w:r>
              <w:rPr>
                <w:rFonts w:ascii="Calibri" w:hAnsi="Calibri" w:cs="Calibri"/>
                <w:color w:val="000000"/>
                <w:sz w:val="22"/>
                <w:szCs w:val="22"/>
              </w:rPr>
              <w:t xml:space="preserve"> 81/08, </w:t>
            </w:r>
            <w:proofErr w:type="spellStart"/>
            <w:r>
              <w:rPr>
                <w:rFonts w:ascii="Calibri" w:hAnsi="Calibri" w:cs="Calibri"/>
                <w:color w:val="000000"/>
                <w:sz w:val="22"/>
                <w:szCs w:val="22"/>
              </w:rPr>
              <w:t>nonchè</w:t>
            </w:r>
            <w:proofErr w:type="spellEnd"/>
            <w:r>
              <w:rPr>
                <w:rFonts w:ascii="Calibri" w:hAnsi="Calibri" w:cs="Calibri"/>
                <w:color w:val="000000"/>
                <w:sz w:val="22"/>
                <w:szCs w:val="22"/>
              </w:rPr>
              <w:t xml:space="preserve"> le eventuali proposte integrative </w:t>
            </w:r>
          </w:p>
        </w:tc>
      </w:tr>
      <w:tr w:rsidR="00746BEA">
        <w:trPr>
          <w:gridBefore w:val="1"/>
          <w:wBefore w:w="360" w:type="dxa"/>
        </w:trPr>
        <w:tc>
          <w:tcPr>
            <w:tcW w:w="450" w:type="dxa"/>
            <w:gridSpan w:val="2"/>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color w:val="000000"/>
                <w:sz w:val="22"/>
                <w:szCs w:val="22"/>
              </w:rPr>
            </w:pPr>
            <w:r>
              <w:rPr>
                <w:rFonts w:ascii="Calibri" w:hAnsi="Calibri" w:cs="Calibri"/>
                <w:color w:val="000000"/>
                <w:sz w:val="22"/>
                <w:szCs w:val="22"/>
              </w:rPr>
              <w:t>b.</w:t>
            </w:r>
          </w:p>
        </w:tc>
        <w:tc>
          <w:tcPr>
            <w:tcW w:w="9096"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aggiorna tempestivamente il Piano di sicurezza di cui alla lettera precedente in funzione delle eventuali variazioni</w:t>
            </w:r>
          </w:p>
        </w:tc>
      </w:tr>
      <w:tr w:rsidR="00746BEA">
        <w:tc>
          <w:tcPr>
            <w:tcW w:w="366" w:type="dxa"/>
            <w:gridSpan w:val="2"/>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color w:val="000000"/>
                <w:sz w:val="22"/>
                <w:szCs w:val="22"/>
              </w:rPr>
            </w:pPr>
            <w:r>
              <w:rPr>
                <w:rFonts w:ascii="Calibri" w:hAnsi="Calibri" w:cs="Calibri"/>
                <w:color w:val="000000"/>
                <w:sz w:val="22"/>
                <w:szCs w:val="22"/>
              </w:rPr>
              <w:lastRenderedPageBreak/>
              <w:t>2.</w:t>
            </w:r>
          </w:p>
        </w:tc>
        <w:tc>
          <w:tcPr>
            <w:tcW w:w="9540" w:type="dxa"/>
            <w:gridSpan w:val="2"/>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In riferimento agli adempimenti in materia di lavoro dipendente, previdenza e assistenza:</w:t>
            </w:r>
          </w:p>
        </w:tc>
      </w:tr>
      <w:tr w:rsidR="00746BEA">
        <w:trPr>
          <w:gridBefore w:val="1"/>
          <w:wBefore w:w="360" w:type="dxa"/>
        </w:trPr>
        <w:tc>
          <w:tcPr>
            <w:tcW w:w="450" w:type="dxa"/>
            <w:gridSpan w:val="2"/>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color w:val="000000"/>
                <w:sz w:val="22"/>
                <w:szCs w:val="22"/>
              </w:rPr>
            </w:pPr>
            <w:r>
              <w:rPr>
                <w:rFonts w:ascii="Calibri" w:hAnsi="Calibri" w:cs="Calibri"/>
                <w:color w:val="000000"/>
                <w:sz w:val="22"/>
                <w:szCs w:val="22"/>
              </w:rPr>
              <w:t>a.</w:t>
            </w:r>
          </w:p>
        </w:tc>
        <w:tc>
          <w:tcPr>
            <w:tcW w:w="9096"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l'appaltatore è obbligato a rispettare tutte le norme in materia retributiva, contributiva, previdenziale, assistenziale, assicurativa, sanitaria, di solidarietà paritetica, previste per i dipendenti dalla vigente normativa.</w:t>
            </w:r>
          </w:p>
        </w:tc>
      </w:tr>
      <w:tr w:rsidR="00746BEA">
        <w:trPr>
          <w:gridBefore w:val="1"/>
          <w:wBefore w:w="360" w:type="dxa"/>
        </w:trPr>
        <w:tc>
          <w:tcPr>
            <w:tcW w:w="450" w:type="dxa"/>
            <w:gridSpan w:val="2"/>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color w:val="000000"/>
                <w:sz w:val="22"/>
                <w:szCs w:val="22"/>
              </w:rPr>
            </w:pPr>
            <w:r>
              <w:rPr>
                <w:rFonts w:ascii="Calibri" w:hAnsi="Calibri" w:cs="Calibri"/>
                <w:color w:val="000000"/>
                <w:sz w:val="22"/>
                <w:szCs w:val="22"/>
              </w:rPr>
              <w:t>b.</w:t>
            </w:r>
          </w:p>
        </w:tc>
        <w:tc>
          <w:tcPr>
            <w:tcW w:w="9096"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 xml:space="preserve">ai sensi dall'articolo 90, comma 9, lettera b), del </w:t>
            </w:r>
            <w:proofErr w:type="spellStart"/>
            <w:r>
              <w:rPr>
                <w:rFonts w:ascii="Calibri" w:hAnsi="Calibri" w:cs="Calibri"/>
                <w:color w:val="000000"/>
                <w:sz w:val="22"/>
                <w:szCs w:val="22"/>
              </w:rPr>
              <w:t>D.Lgs.</w:t>
            </w:r>
            <w:proofErr w:type="spellEnd"/>
            <w:r>
              <w:rPr>
                <w:rFonts w:ascii="Calibri" w:hAnsi="Calibri" w:cs="Calibri"/>
                <w:color w:val="000000"/>
                <w:sz w:val="22"/>
                <w:szCs w:val="22"/>
              </w:rPr>
              <w:t xml:space="preserve"> 81/08, dell'articolo 31 della legge n. 98 del 2013, è stato acquisito il Documento unico di regolarità contributiva in data _________ numero_______.</w:t>
            </w:r>
          </w:p>
        </w:tc>
      </w:tr>
      <w:tr w:rsidR="00746BEA">
        <w:trPr>
          <w:gridBefore w:val="1"/>
          <w:wBefore w:w="360" w:type="dxa"/>
        </w:trPr>
        <w:tc>
          <w:tcPr>
            <w:tcW w:w="450" w:type="dxa"/>
            <w:gridSpan w:val="2"/>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c.</w:t>
            </w:r>
          </w:p>
        </w:tc>
        <w:tc>
          <w:tcPr>
            <w:tcW w:w="9096"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 xml:space="preserve">i lavoratori devono essere </w:t>
            </w:r>
            <w:r w:rsidR="00CD5442">
              <w:rPr>
                <w:rFonts w:ascii="Calibri" w:hAnsi="Calibri" w:cs="Calibri"/>
                <w:sz w:val="22"/>
                <w:szCs w:val="22"/>
              </w:rPr>
              <w:t>inquadrati</w:t>
            </w:r>
            <w:r>
              <w:rPr>
                <w:rFonts w:ascii="Calibri" w:hAnsi="Calibri" w:cs="Calibri"/>
                <w:sz w:val="22"/>
                <w:szCs w:val="22"/>
              </w:rPr>
              <w:t xml:space="preserve"> con contratti che rispettino almeno le condizioni di lavoro e il salario minimo dell'ultimo contratto collettivo nazionale CCNL sottoscritto, per garantire il rispetto del criterio ambientale minimo "Clausola sociale" di cui all'allegato al D.M.11/10/2017, p.to 2.7.2, del Ministero dell'Ambiente e della Tutela del Territorio e del Mare.</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Sempre nel rispetto di tale criterio, in caso di impiego di lavoratori interinali per brevi durate (meno di 60 giorni) l'offerente si accerta che sia stata effettuata la formazione in materia di salute e sicurezza sul lavoro (sia generica che specifica).</w:t>
            </w:r>
          </w:p>
        </w:tc>
      </w:tr>
      <w:tr w:rsidR="00746BEA">
        <w:tc>
          <w:tcPr>
            <w:tcW w:w="366" w:type="dxa"/>
            <w:gridSpan w:val="2"/>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3.</w:t>
            </w:r>
          </w:p>
        </w:tc>
        <w:tc>
          <w:tcPr>
            <w:tcW w:w="9540" w:type="dxa"/>
            <w:gridSpan w:val="2"/>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lang w:val="x-none" w:eastAsia="x-none"/>
              </w:rPr>
            </w:pPr>
            <w:r>
              <w:rPr>
                <w:rFonts w:ascii="Calibri" w:hAnsi="Calibri" w:cs="Calibri"/>
                <w:sz w:val="22"/>
                <w:szCs w:val="22"/>
              </w:rPr>
              <w:t>L'appaltatore deve provvedere alla custodia, alla buona conservazione e alla gratuita ma</w:t>
            </w:r>
            <w:r>
              <w:rPr>
                <w:rFonts w:ascii="Calibri" w:hAnsi="Calibri" w:cs="Calibri"/>
                <w:sz w:val="22"/>
                <w:szCs w:val="22"/>
              </w:rPr>
              <w:softHyphen/>
              <w:t>nutenzione di tutte le opere e impianti oggetto del</w:t>
            </w:r>
            <w:r>
              <w:rPr>
                <w:rFonts w:ascii="Calibri" w:hAnsi="Calibri" w:cs="Calibri"/>
                <w:sz w:val="22"/>
                <w:szCs w:val="22"/>
              </w:rPr>
              <w:softHyphen/>
              <w:t xml:space="preserve">l'appalto fino all'approvazione, esplicita o tacita, del certificato di collaudo </w:t>
            </w:r>
            <w:r w:rsidR="00CD5442">
              <w:rPr>
                <w:rFonts w:ascii="Calibri" w:hAnsi="Calibri" w:cs="Calibri"/>
                <w:sz w:val="22"/>
                <w:szCs w:val="22"/>
              </w:rPr>
              <w:t>provvisorio regolare</w:t>
            </w:r>
            <w:r>
              <w:rPr>
                <w:rFonts w:ascii="Calibri" w:hAnsi="Calibri" w:cs="Calibri"/>
                <w:sz w:val="22"/>
                <w:szCs w:val="22"/>
              </w:rPr>
              <w:t xml:space="preserve"> esecuzione; la stazione appaltante ha facoltà di richiedere la consegna anticipata di parte o di tutte le opere ulti</w:t>
            </w:r>
            <w:r>
              <w:rPr>
                <w:rFonts w:ascii="Calibri" w:hAnsi="Calibri" w:cs="Calibri"/>
                <w:sz w:val="22"/>
                <w:szCs w:val="22"/>
              </w:rPr>
              <w:softHyphen/>
              <w:t>mate.</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17 - Subappalto</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351"/>
        <w:gridCol w:w="9193"/>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color w:val="000000"/>
                <w:sz w:val="22"/>
                <w:szCs w:val="22"/>
              </w:rPr>
            </w:pPr>
            <w:r>
              <w:rPr>
                <w:rFonts w:ascii="Calibri" w:hAnsi="Calibri" w:cs="Calibri"/>
                <w:color w:val="000000"/>
                <w:sz w:val="22"/>
                <w:szCs w:val="22"/>
              </w:rPr>
              <w:t>1.</w:t>
            </w:r>
          </w:p>
        </w:tc>
        <w:tc>
          <w:tcPr>
            <w:tcW w:w="9540" w:type="dxa"/>
            <w:gridSpan w:val="2"/>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Il contratto non può essere ceduto a pena di nullità.</w:t>
            </w:r>
          </w:p>
        </w:tc>
      </w:tr>
      <w:tr w:rsidR="00746BEA">
        <w:tc>
          <w:tcPr>
            <w:tcW w:w="366" w:type="dxa"/>
            <w:tcBorders>
              <w:top w:val="nil"/>
              <w:left w:val="nil"/>
              <w:bottom w:val="nil"/>
              <w:right w:val="nil"/>
            </w:tcBorders>
            <w:tcMar>
              <w:right w:w="85" w:type="dxa"/>
            </w:tcMar>
          </w:tcPr>
          <w:p w:rsidR="00746BEA" w:rsidRPr="00B36371"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sidRPr="00B36371">
              <w:rPr>
                <w:rFonts w:ascii="Calibri" w:hAnsi="Calibri" w:cs="Calibri"/>
                <w:sz w:val="22"/>
                <w:szCs w:val="22"/>
              </w:rPr>
              <w:t>2.</w:t>
            </w:r>
          </w:p>
        </w:tc>
        <w:tc>
          <w:tcPr>
            <w:tcW w:w="9540" w:type="dxa"/>
            <w:gridSpan w:val="2"/>
            <w:tcBorders>
              <w:top w:val="nil"/>
              <w:left w:val="nil"/>
              <w:bottom w:val="nil"/>
              <w:right w:val="nil"/>
            </w:tcBorders>
          </w:tcPr>
          <w:p w:rsidR="00746BEA" w:rsidRPr="00B36371" w:rsidRDefault="00CD5442">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rPr>
            </w:pPr>
            <w:r w:rsidRPr="00B36371">
              <w:rPr>
                <w:rFonts w:ascii="Calibri" w:hAnsi="Calibri" w:cs="Calibri"/>
                <w:sz w:val="22"/>
                <w:szCs w:val="22"/>
              </w:rPr>
              <w:t>Il</w:t>
            </w:r>
            <w:r w:rsidR="00746BEA" w:rsidRPr="00B36371">
              <w:rPr>
                <w:rFonts w:ascii="Calibri" w:hAnsi="Calibri" w:cs="Calibri"/>
                <w:sz w:val="22"/>
                <w:szCs w:val="22"/>
              </w:rPr>
              <w:t xml:space="preserve"> subappalto</w:t>
            </w:r>
            <w:r w:rsidRPr="00B36371">
              <w:rPr>
                <w:rFonts w:ascii="Calibri" w:hAnsi="Calibri" w:cs="Calibri"/>
                <w:sz w:val="22"/>
                <w:szCs w:val="22"/>
              </w:rPr>
              <w:t xml:space="preserve"> è ammesso nei termini di legge</w:t>
            </w:r>
            <w:r w:rsidR="00746BEA" w:rsidRPr="00B36371">
              <w:rPr>
                <w:rFonts w:ascii="Calibri" w:hAnsi="Calibri" w:cs="Calibri"/>
                <w:sz w:val="22"/>
                <w:szCs w:val="22"/>
              </w:rPr>
              <w:t>.</w:t>
            </w:r>
          </w:p>
        </w:tc>
      </w:tr>
      <w:tr w:rsidR="00746BEA">
        <w:tc>
          <w:tcPr>
            <w:tcW w:w="366" w:type="dxa"/>
            <w:tcBorders>
              <w:top w:val="nil"/>
              <w:left w:val="nil"/>
              <w:bottom w:val="nil"/>
              <w:right w:val="nil"/>
            </w:tcBorders>
            <w:tcMar>
              <w:right w:w="85" w:type="dxa"/>
            </w:tcMar>
          </w:tcPr>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color w:val="000000"/>
                <w:sz w:val="22"/>
                <w:szCs w:val="22"/>
              </w:rPr>
            </w:pPr>
            <w:r>
              <w:rPr>
                <w:rFonts w:ascii="Calibri" w:hAnsi="Calibri" w:cs="Calibri"/>
                <w:color w:val="000000"/>
                <w:sz w:val="22"/>
                <w:szCs w:val="22"/>
              </w:rPr>
              <w:t>3.</w:t>
            </w:r>
          </w:p>
        </w:tc>
        <w:tc>
          <w:tcPr>
            <w:tcW w:w="9540" w:type="dxa"/>
            <w:gridSpan w:val="2"/>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Ai sensi dell'articolo 105, comma 8, del codice dei contratti, il contraente principale resta responsabile in via esclusiva nei confronti della stazione appaltante. L'aggiudicatario è responsabile in solido con il subappaltatore in relazione agli obblighi retributivi e contributivi, ai sensi dell'articolo 29 del decreto legislativo 10 settembre 2003, n. 276.</w:t>
            </w:r>
          </w:p>
        </w:tc>
      </w:tr>
      <w:tr w:rsidR="00746BEA">
        <w:tc>
          <w:tcPr>
            <w:tcW w:w="366" w:type="dxa"/>
            <w:tcBorders>
              <w:top w:val="nil"/>
              <w:left w:val="nil"/>
              <w:bottom w:val="nil"/>
              <w:right w:val="nil"/>
            </w:tcBorders>
            <w:tcMar>
              <w:right w:w="85" w:type="dxa"/>
            </w:tcMar>
          </w:tcPr>
          <w:p w:rsidR="00746BEA" w:rsidRDefault="00746BEA">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color w:val="000000"/>
                <w:sz w:val="22"/>
                <w:szCs w:val="22"/>
              </w:rPr>
            </w:pPr>
            <w:r>
              <w:rPr>
                <w:rFonts w:ascii="Calibri" w:hAnsi="Calibri" w:cs="Calibri"/>
                <w:color w:val="000000"/>
                <w:sz w:val="22"/>
                <w:szCs w:val="22"/>
              </w:rPr>
              <w:t>4.</w:t>
            </w:r>
          </w:p>
        </w:tc>
        <w:tc>
          <w:tcPr>
            <w:tcW w:w="9540" w:type="dxa"/>
            <w:gridSpan w:val="2"/>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L'affidatario è responsabile in solido dell'osservanza del trattamento economico e normativo stabilito dai contratti collettivi nazionale e territoriale in vigore per il settore e per la zona nella quale si eseguono le prestazioni da parte dei subappaltatori nei confronti dei loro dipendenti per le prestazioni rese nell'ambito del subappalto.</w:t>
            </w:r>
          </w:p>
        </w:tc>
      </w:tr>
      <w:tr w:rsidR="00746BEA">
        <w:tc>
          <w:tcPr>
            <w:tcW w:w="366" w:type="dxa"/>
            <w:tcBorders>
              <w:top w:val="nil"/>
              <w:left w:val="nil"/>
              <w:bottom w:val="nil"/>
              <w:right w:val="nil"/>
            </w:tcBorders>
            <w:tcMar>
              <w:right w:w="85" w:type="dxa"/>
            </w:tcMar>
          </w:tcPr>
          <w:p w:rsidR="00746BEA" w:rsidRDefault="00746BEA">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color w:val="000000"/>
                <w:sz w:val="22"/>
                <w:szCs w:val="22"/>
              </w:rPr>
            </w:pPr>
            <w:r>
              <w:rPr>
                <w:rFonts w:ascii="Calibri" w:hAnsi="Calibri" w:cs="Calibri"/>
                <w:color w:val="000000"/>
                <w:sz w:val="22"/>
                <w:szCs w:val="22"/>
              </w:rPr>
              <w:t>5.</w:t>
            </w:r>
          </w:p>
        </w:tc>
        <w:tc>
          <w:tcPr>
            <w:tcW w:w="9540" w:type="dxa"/>
            <w:gridSpan w:val="2"/>
            <w:tcBorders>
              <w:top w:val="nil"/>
              <w:left w:val="nil"/>
              <w:bottom w:val="nil"/>
              <w:right w:val="nil"/>
            </w:tcBorders>
          </w:tcPr>
          <w:p w:rsidR="00746BEA" w:rsidRDefault="00746BE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sz w:val="22"/>
                <w:szCs w:val="22"/>
                <w:lang w:val="x-none" w:eastAsia="x-none"/>
              </w:rPr>
            </w:pPr>
            <w:r>
              <w:rPr>
                <w:rFonts w:ascii="Calibri" w:hAnsi="Calibri" w:cs="Calibri"/>
                <w:sz w:val="22"/>
                <w:szCs w:val="22"/>
                <w:lang w:val="x-none" w:eastAsia="x-none"/>
              </w:rPr>
              <w:t xml:space="preserve">L'affidatario è solidalmente responsabile con il subappaltatore degli adempimenti, da parte di questo ultimo, degli obblighi di sicurezza previsti dalla normativa vigente. </w:t>
            </w:r>
          </w:p>
        </w:tc>
      </w:tr>
      <w:tr w:rsidR="00746BEA">
        <w:tc>
          <w:tcPr>
            <w:tcW w:w="366" w:type="dxa"/>
            <w:tcBorders>
              <w:top w:val="nil"/>
              <w:left w:val="nil"/>
              <w:bottom w:val="nil"/>
              <w:right w:val="nil"/>
            </w:tcBorders>
            <w:tcMar>
              <w:right w:w="85" w:type="dxa"/>
            </w:tcMar>
          </w:tcPr>
          <w:p w:rsidR="00746BEA" w:rsidRDefault="00746BEA">
            <w:pPr>
              <w:pStyle w:val="Default"/>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6.</w:t>
            </w:r>
          </w:p>
        </w:tc>
        <w:tc>
          <w:tcPr>
            <w:tcW w:w="9540" w:type="dxa"/>
            <w:gridSpan w:val="2"/>
            <w:tcBorders>
              <w:top w:val="nil"/>
              <w:left w:val="nil"/>
              <w:bottom w:val="nil"/>
              <w:right w:val="nil"/>
            </w:tcBorders>
          </w:tcPr>
          <w:p w:rsidR="00746BEA" w:rsidRDefault="00746BE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sz w:val="22"/>
                <w:szCs w:val="22"/>
                <w:lang w:val="x-none" w:eastAsia="x-none"/>
              </w:rPr>
            </w:pPr>
            <w:r>
              <w:rPr>
                <w:rFonts w:ascii="Calibri" w:hAnsi="Calibri" w:cs="Calibri"/>
                <w:sz w:val="22"/>
                <w:szCs w:val="22"/>
                <w:lang w:val="x-none" w:eastAsia="x-none"/>
              </w:rPr>
              <w:t xml:space="preserve">Il subappalto non autorizzato comporta, anche ai sensi dell'articolo 1456 del codice civile, inadempimento contrattualmente grave ed essenziale con la conseguente possibilità, per la Stazione appaltante, di risolvere il contratto in danno dell'appaltatore.  Le sanzioni penali sono disciplinate dall'articolo 21 della legge 13 settembre 1982, n. 646 e </w:t>
            </w:r>
            <w:proofErr w:type="spellStart"/>
            <w:r>
              <w:rPr>
                <w:rFonts w:ascii="Calibri" w:hAnsi="Calibri" w:cs="Calibri"/>
                <w:sz w:val="22"/>
                <w:szCs w:val="22"/>
                <w:lang w:val="x-none" w:eastAsia="x-none"/>
              </w:rPr>
              <w:t>s.mi</w:t>
            </w:r>
            <w:proofErr w:type="spellEnd"/>
            <w:r>
              <w:rPr>
                <w:rFonts w:ascii="Calibri" w:hAnsi="Calibri" w:cs="Calibri"/>
                <w:sz w:val="22"/>
                <w:szCs w:val="22"/>
                <w:lang w:val="x-none" w:eastAsia="x-none"/>
              </w:rPr>
              <w:t>. (sanzione pecuniaria fino a un terzo dell'importo dell'appalto, arresto da sei mesi ad un anno).</w:t>
            </w:r>
          </w:p>
        </w:tc>
      </w:tr>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7.</w:t>
            </w:r>
          </w:p>
        </w:tc>
        <w:tc>
          <w:tcPr>
            <w:tcW w:w="9540" w:type="dxa"/>
            <w:gridSpan w:val="2"/>
            <w:tcBorders>
              <w:top w:val="nil"/>
              <w:left w:val="nil"/>
              <w:bottom w:val="nil"/>
              <w:right w:val="nil"/>
            </w:tcBorders>
          </w:tcPr>
          <w:p w:rsidR="00746BEA" w:rsidRDefault="00746BE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color w:val="auto"/>
                <w:sz w:val="22"/>
                <w:szCs w:val="22"/>
              </w:rPr>
            </w:pPr>
            <w:r>
              <w:rPr>
                <w:rFonts w:ascii="Calibri" w:hAnsi="Calibri" w:cs="Calibri"/>
                <w:color w:val="auto"/>
                <w:sz w:val="22"/>
                <w:szCs w:val="22"/>
                <w:lang w:val="x-none" w:eastAsia="x-none"/>
              </w:rPr>
              <w:t xml:space="preserve">In accordo all'articolo 105, comma 13, del codice dei contratti, la stazione appaltante corrisponde direttamente al subappaltatore, al cottimista, al prestatore di servizi ed al fornitore di beni o lavori, l'importo dovuto per le prestazioni dagli stessi eseguite nei seguenti casi: </w:t>
            </w:r>
          </w:p>
        </w:tc>
      </w:tr>
      <w:tr w:rsidR="00746BEA">
        <w:trPr>
          <w:gridBefore w:val="1"/>
          <w:wBefore w:w="362" w:type="dxa"/>
        </w:trPr>
        <w:tc>
          <w:tcPr>
            <w:tcW w:w="351"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a.</w:t>
            </w:r>
          </w:p>
        </w:tc>
        <w:tc>
          <w:tcPr>
            <w:tcW w:w="91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lang w:val="x-none" w:eastAsia="x-none"/>
              </w:rPr>
            </w:pPr>
            <w:r>
              <w:rPr>
                <w:rFonts w:ascii="Calibri" w:hAnsi="Calibri" w:cs="Calibri"/>
                <w:sz w:val="22"/>
                <w:szCs w:val="22"/>
                <w:lang w:val="x-none" w:eastAsia="x-none"/>
              </w:rPr>
              <w:t xml:space="preserve">quando il subappaltatore o il cottimista è una </w:t>
            </w:r>
            <w:proofErr w:type="spellStart"/>
            <w:r>
              <w:rPr>
                <w:rFonts w:ascii="Calibri" w:hAnsi="Calibri" w:cs="Calibri"/>
                <w:sz w:val="22"/>
                <w:szCs w:val="22"/>
                <w:lang w:val="x-none" w:eastAsia="x-none"/>
              </w:rPr>
              <w:t>microimpresa</w:t>
            </w:r>
            <w:proofErr w:type="spellEnd"/>
            <w:r>
              <w:rPr>
                <w:rFonts w:ascii="Calibri" w:hAnsi="Calibri" w:cs="Calibri"/>
                <w:sz w:val="22"/>
                <w:szCs w:val="22"/>
                <w:lang w:val="x-none" w:eastAsia="x-none"/>
              </w:rPr>
              <w:t xml:space="preserve"> o piccola impresa; </w:t>
            </w:r>
          </w:p>
        </w:tc>
      </w:tr>
      <w:tr w:rsidR="00746BEA">
        <w:trPr>
          <w:gridBefore w:val="1"/>
          <w:wBefore w:w="362" w:type="dxa"/>
        </w:trPr>
        <w:tc>
          <w:tcPr>
            <w:tcW w:w="351"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b.</w:t>
            </w:r>
          </w:p>
        </w:tc>
        <w:tc>
          <w:tcPr>
            <w:tcW w:w="91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lang w:val="x-none" w:eastAsia="x-none"/>
              </w:rPr>
            </w:pPr>
            <w:r>
              <w:rPr>
                <w:rFonts w:ascii="Calibri" w:hAnsi="Calibri" w:cs="Calibri"/>
                <w:sz w:val="22"/>
                <w:szCs w:val="22"/>
                <w:lang w:val="x-none" w:eastAsia="x-none"/>
              </w:rPr>
              <w:t>in caso di inadempimento da parte dell’affidatario;</w:t>
            </w:r>
          </w:p>
        </w:tc>
      </w:tr>
      <w:tr w:rsidR="00746BEA">
        <w:trPr>
          <w:gridBefore w:val="1"/>
          <w:wBefore w:w="362" w:type="dxa"/>
        </w:trPr>
        <w:tc>
          <w:tcPr>
            <w:tcW w:w="351"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c.</w:t>
            </w:r>
          </w:p>
        </w:tc>
        <w:tc>
          <w:tcPr>
            <w:tcW w:w="91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lang w:val="x-none" w:eastAsia="x-none"/>
              </w:rPr>
            </w:pPr>
            <w:r>
              <w:rPr>
                <w:rFonts w:ascii="Calibri" w:hAnsi="Calibri" w:cs="Calibri"/>
                <w:sz w:val="22"/>
                <w:szCs w:val="22"/>
                <w:lang w:val="x-none" w:eastAsia="x-none"/>
              </w:rPr>
              <w:t>su richiesta del subappaltatore, essendo previsto dal contratto.</w:t>
            </w:r>
          </w:p>
        </w:tc>
      </w:tr>
      <w:tr w:rsidR="00746BEA">
        <w:tc>
          <w:tcPr>
            <w:tcW w:w="366" w:type="dxa"/>
            <w:tcBorders>
              <w:top w:val="nil"/>
              <w:left w:val="nil"/>
              <w:bottom w:val="nil"/>
              <w:right w:val="nil"/>
            </w:tcBorders>
            <w:tcMar>
              <w:right w:w="85" w:type="dxa"/>
            </w:tcMar>
          </w:tcPr>
          <w:p w:rsidR="00746BEA" w:rsidRDefault="00746BEA">
            <w:pPr>
              <w:widowControl w:val="0"/>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8.</w:t>
            </w:r>
          </w:p>
        </w:tc>
        <w:tc>
          <w:tcPr>
            <w:tcW w:w="9540" w:type="dxa"/>
            <w:gridSpan w:val="2"/>
            <w:tcBorders>
              <w:top w:val="nil"/>
              <w:left w:val="nil"/>
              <w:bottom w:val="nil"/>
              <w:right w:val="nil"/>
            </w:tcBorders>
          </w:tcPr>
          <w:p w:rsidR="00746BEA" w:rsidRDefault="00746BEA">
            <w:pPr>
              <w:pStyle w:val="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color w:val="auto"/>
                <w:sz w:val="22"/>
                <w:szCs w:val="22"/>
              </w:rPr>
            </w:pPr>
            <w:r>
              <w:rPr>
                <w:rFonts w:ascii="Calibri" w:hAnsi="Calibri" w:cs="Calibri"/>
                <w:color w:val="auto"/>
                <w:sz w:val="22"/>
                <w:szCs w:val="22"/>
                <w:lang w:val="x-none" w:eastAsia="x-none"/>
              </w:rPr>
              <w:t xml:space="preserve">Per le prestazioni affidate in subappalto e corrisposte dall'affidatario, saranno praticati </w:t>
            </w:r>
            <w:r>
              <w:rPr>
                <w:rFonts w:ascii="Calibri" w:hAnsi="Calibri" w:cs="Calibri"/>
                <w:color w:val="auto"/>
                <w:sz w:val="22"/>
                <w:szCs w:val="22"/>
              </w:rPr>
              <w:t>gli stessi prezzi unitari risultanti dall'aggiudicazione, con ribasso non superiore al venti per cento, nel rispetto degli standard qualitativi e prestazionali previsti nel contratto di appalto. L'affidatario corrisponde i costi della sicurezza e della manodopera, relativi alle prestazioni affidate in subappalto, alle imprese subappaltatrici senza alcun ribasso; la stazione appaltante, sentito il direttore dei lavori, il coordinatore della sicurezza in fase di esecuzione, ovvero il direttore dell'esecuzione, provvede alla verifica dell'effettiva applicazione della presente disposizione.</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18 - Cauzione definitiva e obblighi assicurativi</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sz w:val="22"/>
                <w:szCs w:val="22"/>
              </w:rPr>
            </w:pPr>
            <w:r>
              <w:rPr>
                <w:rFonts w:ascii="Calibri" w:hAnsi="Calibri" w:cs="Calibri"/>
                <w:sz w:val="22"/>
                <w:szCs w:val="22"/>
                <w:lang w:val="x-none" w:eastAsia="x-none"/>
              </w:rPr>
              <w:t xml:space="preserve">Nel rispetto dell'articolo 103, comma 1, del </w:t>
            </w:r>
            <w:r>
              <w:rPr>
                <w:rFonts w:ascii="Calibri" w:hAnsi="Calibri" w:cs="Calibri"/>
                <w:sz w:val="22"/>
                <w:szCs w:val="22"/>
              </w:rPr>
              <w:t>codice dei contratti</w:t>
            </w:r>
            <w:r>
              <w:rPr>
                <w:rFonts w:ascii="Calibri" w:hAnsi="Calibri" w:cs="Calibri"/>
                <w:sz w:val="22"/>
                <w:szCs w:val="22"/>
                <w:lang w:val="x-none" w:eastAsia="x-none"/>
              </w:rPr>
              <w:t xml:space="preserve">, l'appaltatore ha prestato apposita garanzia </w:t>
            </w:r>
            <w:r>
              <w:rPr>
                <w:rFonts w:ascii="Calibri" w:hAnsi="Calibri" w:cs="Calibri"/>
                <w:sz w:val="22"/>
                <w:szCs w:val="22"/>
                <w:lang w:val="x-none" w:eastAsia="x-none"/>
              </w:rPr>
              <w:lastRenderedPageBreak/>
              <w:t xml:space="preserve">definitiva mediante cauzione/fideiussione   numero_________ in data__________ </w:t>
            </w:r>
            <w:r>
              <w:rPr>
                <w:rFonts w:ascii="Calibri" w:hAnsi="Calibri" w:cs="Calibri"/>
                <w:sz w:val="22"/>
                <w:szCs w:val="22"/>
              </w:rPr>
              <w:t>rilasciata dalla società/dall'</w:t>
            </w:r>
            <w:proofErr w:type="spellStart"/>
            <w:r>
              <w:rPr>
                <w:rFonts w:ascii="Calibri" w:hAnsi="Calibri" w:cs="Calibri"/>
                <w:sz w:val="22"/>
                <w:szCs w:val="22"/>
              </w:rPr>
              <w:t>istituto__________________________agenzia</w:t>
            </w:r>
            <w:proofErr w:type="spellEnd"/>
            <w:r>
              <w:rPr>
                <w:rFonts w:ascii="Calibri" w:hAnsi="Calibri" w:cs="Calibri"/>
                <w:sz w:val="22"/>
                <w:szCs w:val="22"/>
              </w:rPr>
              <w:t>/filiale di_______________________, per un importo pari al 10 per cento dell'importo contrattuale.</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lastRenderedPageBreak/>
              <w:t>2.</w:t>
            </w:r>
          </w:p>
        </w:tc>
        <w:tc>
          <w:tcPr>
            <w:tcW w:w="9540" w:type="dxa"/>
            <w:tcBorders>
              <w:top w:val="nil"/>
              <w:left w:val="nil"/>
              <w:bottom w:val="nil"/>
              <w:right w:val="nil"/>
            </w:tcBorders>
          </w:tcPr>
          <w:p w:rsidR="00746BEA" w:rsidRDefault="00746BEA">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sz w:val="22"/>
                <w:szCs w:val="22"/>
              </w:rPr>
            </w:pPr>
            <w:r>
              <w:rPr>
                <w:rFonts w:ascii="Calibri" w:hAnsi="Calibri" w:cs="Calibri"/>
                <w:sz w:val="22"/>
                <w:szCs w:val="22"/>
              </w:rPr>
              <w:t>La garanzia di cui al comma 1 è svincolata secondo le modalità previste nel Capitolato speciale d'appalto e Art. 103 comma 5 del codice dei contratti.</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3.</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rPr>
            </w:pPr>
            <w:r>
              <w:rPr>
                <w:rFonts w:ascii="Calibri" w:hAnsi="Calibri" w:cs="Calibri"/>
                <w:sz w:val="22"/>
                <w:szCs w:val="22"/>
              </w:rPr>
              <w:t>Il pagamento della rata di saldo sarà subordinato alla costituzione di una garanzia fideiussoria bancaria o assicurativa di natura accessoria pari all'importo della medesima rate di saldo maggiorato del tasso di interesse legale applicato per il periodo intercorrente tra la data di emissione del certificato di collaudo o della verifica di conformità e l'assunzione del carattere di definitività del medesimo.</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4.</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Ai sensi dell'articolo 103, comma 7 del codice dei contratti, l'appaltatore è obbligato ad assumere la responsabilità di danni a persone e cose causati nell'esecuzione dei lavori.</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5.</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after="57"/>
              <w:jc w:val="both"/>
              <w:rPr>
                <w:rFonts w:ascii="Calibri" w:hAnsi="Calibri" w:cs="Calibri"/>
                <w:sz w:val="22"/>
                <w:szCs w:val="22"/>
              </w:rPr>
            </w:pPr>
            <w:r>
              <w:rPr>
                <w:rFonts w:ascii="Calibri" w:hAnsi="Calibri" w:cs="Calibri"/>
                <w:sz w:val="22"/>
                <w:szCs w:val="22"/>
              </w:rPr>
              <w:t xml:space="preserve">L'appaltatore, ai fini di cui al comma 4, ha stipulato un'assicurazione mediante polizza </w:t>
            </w:r>
            <w:proofErr w:type="spellStart"/>
            <w:r>
              <w:rPr>
                <w:rFonts w:ascii="Calibri" w:hAnsi="Calibri" w:cs="Calibri"/>
                <w:sz w:val="22"/>
                <w:szCs w:val="22"/>
              </w:rPr>
              <w:t>numero____in</w:t>
            </w:r>
            <w:proofErr w:type="spellEnd"/>
            <w:r>
              <w:rPr>
                <w:rFonts w:ascii="Calibri" w:hAnsi="Calibri" w:cs="Calibri"/>
                <w:sz w:val="22"/>
                <w:szCs w:val="22"/>
              </w:rPr>
              <w:t xml:space="preserve"> data__________ rilasciata dalla società/dall'istituto___________________________ agenzia/filiale di_____________, per un importo pari a    € _____________ .</w:t>
            </w:r>
          </w:p>
        </w:tc>
      </w:tr>
    </w:tbl>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19 - Documenti contrattuali</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351"/>
        <w:gridCol w:w="9193"/>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1.</w:t>
            </w:r>
          </w:p>
        </w:tc>
        <w:tc>
          <w:tcPr>
            <w:tcW w:w="9540" w:type="dxa"/>
            <w:gridSpan w:val="2"/>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Sono allegati al presente contratto, ai sensi dell'articolo 43 del D.P.R. n. 207 del 2010:</w:t>
            </w:r>
          </w:p>
        </w:tc>
      </w:tr>
      <w:tr w:rsidR="00746BEA">
        <w:trPr>
          <w:gridBefore w:val="1"/>
          <w:wBefore w:w="362" w:type="dxa"/>
        </w:trPr>
        <w:tc>
          <w:tcPr>
            <w:tcW w:w="351"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0"/>
                <w:szCs w:val="20"/>
              </w:rPr>
            </w:pPr>
            <w:r>
              <w:rPr>
                <w:rFonts w:ascii="Calibri" w:hAnsi="Calibri" w:cs="Calibri"/>
                <w:sz w:val="22"/>
                <w:szCs w:val="22"/>
              </w:rPr>
              <w:t>a.</w:t>
            </w:r>
          </w:p>
        </w:tc>
        <w:tc>
          <w:tcPr>
            <w:tcW w:w="9193"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sz w:val="22"/>
                <w:szCs w:val="22"/>
              </w:rPr>
            </w:pPr>
            <w:r>
              <w:rPr>
                <w:rFonts w:ascii="Calibri" w:hAnsi="Calibri" w:cs="Calibri"/>
                <w:sz w:val="22"/>
                <w:szCs w:val="22"/>
              </w:rPr>
              <w:t>il Capitolato Speciale d'appalto ;</w:t>
            </w:r>
          </w:p>
        </w:tc>
      </w:tr>
      <w:tr w:rsidR="00746BEA">
        <w:trPr>
          <w:gridBefore w:val="1"/>
          <w:wBefore w:w="362" w:type="dxa"/>
        </w:trPr>
        <w:tc>
          <w:tcPr>
            <w:tcW w:w="351"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0"/>
                <w:szCs w:val="20"/>
              </w:rPr>
            </w:pPr>
            <w:r>
              <w:rPr>
                <w:rFonts w:ascii="Calibri" w:hAnsi="Calibri" w:cs="Calibri"/>
                <w:sz w:val="22"/>
                <w:szCs w:val="22"/>
              </w:rPr>
              <w:t>b.</w:t>
            </w:r>
          </w:p>
        </w:tc>
        <w:tc>
          <w:tcPr>
            <w:tcW w:w="9193" w:type="dxa"/>
            <w:tcBorders>
              <w:top w:val="nil"/>
              <w:left w:val="nil"/>
              <w:bottom w:val="nil"/>
              <w:right w:val="nil"/>
            </w:tcBorders>
          </w:tcPr>
          <w:p w:rsidR="00746BEA" w:rsidRDefault="00746BEA">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alibri" w:hAnsi="Calibri" w:cs="Calibri"/>
                <w:sz w:val="22"/>
                <w:szCs w:val="22"/>
              </w:rPr>
            </w:pPr>
            <w:r>
              <w:rPr>
                <w:rFonts w:ascii="Calibri" w:hAnsi="Calibri" w:cs="Calibri"/>
                <w:sz w:val="22"/>
                <w:szCs w:val="22"/>
              </w:rPr>
              <w:t>l'elenco dei prezzi unitari.</w:t>
            </w:r>
          </w:p>
        </w:tc>
      </w:tr>
      <w:tr w:rsidR="00746BEA">
        <w:tc>
          <w:tcPr>
            <w:tcW w:w="366"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2.</w:t>
            </w:r>
          </w:p>
        </w:tc>
        <w:tc>
          <w:tcPr>
            <w:tcW w:w="9540" w:type="dxa"/>
            <w:gridSpan w:val="2"/>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Costituiscono altresì parte integrante del presente contratto anche se non materialmente allegati i seguenti documenti:</w:t>
            </w:r>
          </w:p>
        </w:tc>
      </w:tr>
      <w:tr w:rsidR="00746BEA">
        <w:trPr>
          <w:gridBefore w:val="1"/>
          <w:wBefore w:w="362" w:type="dxa"/>
        </w:trPr>
        <w:tc>
          <w:tcPr>
            <w:tcW w:w="351"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0"/>
                <w:szCs w:val="20"/>
              </w:rPr>
            </w:pPr>
            <w:r>
              <w:rPr>
                <w:rFonts w:ascii="Calibri" w:hAnsi="Calibri" w:cs="Calibri"/>
                <w:sz w:val="22"/>
                <w:szCs w:val="22"/>
              </w:rPr>
              <w:t>a.</w:t>
            </w:r>
          </w:p>
        </w:tc>
        <w:tc>
          <w:tcPr>
            <w:tcW w:w="9193" w:type="dxa"/>
            <w:tcBorders>
              <w:top w:val="nil"/>
              <w:left w:val="nil"/>
              <w:bottom w:val="nil"/>
              <w:right w:val="nil"/>
            </w:tcBorders>
          </w:tcPr>
          <w:p w:rsidR="00746BEA" w:rsidRDefault="00746BEA">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alibri" w:hAnsi="Calibri" w:cs="Calibri"/>
                <w:sz w:val="22"/>
                <w:szCs w:val="22"/>
              </w:rPr>
            </w:pPr>
            <w:r>
              <w:rPr>
                <w:rFonts w:ascii="Calibri" w:hAnsi="Calibri" w:cs="Calibri"/>
                <w:sz w:val="22"/>
                <w:szCs w:val="22"/>
              </w:rPr>
              <w:t>gli elaborati grafici progettuali e le relazioni ;</w:t>
            </w:r>
          </w:p>
        </w:tc>
      </w:tr>
      <w:tr w:rsidR="00746BEA">
        <w:trPr>
          <w:gridBefore w:val="1"/>
          <w:wBefore w:w="362" w:type="dxa"/>
        </w:trPr>
        <w:tc>
          <w:tcPr>
            <w:tcW w:w="351"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b.</w:t>
            </w:r>
          </w:p>
        </w:tc>
        <w:tc>
          <w:tcPr>
            <w:tcW w:w="9193" w:type="dxa"/>
            <w:tcBorders>
              <w:top w:val="nil"/>
              <w:left w:val="nil"/>
              <w:bottom w:val="nil"/>
              <w:right w:val="nil"/>
            </w:tcBorders>
          </w:tcPr>
          <w:p w:rsidR="00746BEA" w:rsidRDefault="00746BEA">
            <w:pPr>
              <w:pStyle w:val="Normal"/>
              <w:widowControl/>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alibri" w:hAnsi="Calibri" w:cs="Calibri"/>
                <w:sz w:val="22"/>
                <w:szCs w:val="22"/>
                <w:lang w:val="x-none" w:eastAsia="x-none"/>
              </w:rPr>
            </w:pPr>
            <w:r>
              <w:rPr>
                <w:rFonts w:ascii="Calibri" w:hAnsi="Calibri" w:cs="Calibri"/>
                <w:sz w:val="22"/>
                <w:szCs w:val="22"/>
                <w:lang w:val="x-none" w:eastAsia="x-none"/>
              </w:rPr>
              <w:t>il computo metrico estimativo;</w:t>
            </w:r>
          </w:p>
        </w:tc>
      </w:tr>
      <w:tr w:rsidR="00746BEA">
        <w:trPr>
          <w:gridBefore w:val="1"/>
          <w:wBefore w:w="362" w:type="dxa"/>
        </w:trPr>
        <w:tc>
          <w:tcPr>
            <w:tcW w:w="351"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0"/>
                <w:szCs w:val="20"/>
              </w:rPr>
            </w:pPr>
            <w:r>
              <w:rPr>
                <w:rFonts w:ascii="Calibri" w:hAnsi="Calibri" w:cs="Calibri"/>
                <w:sz w:val="22"/>
                <w:szCs w:val="22"/>
              </w:rPr>
              <w:t>c.</w:t>
            </w:r>
          </w:p>
        </w:tc>
        <w:tc>
          <w:tcPr>
            <w:tcW w:w="9193" w:type="dxa"/>
            <w:tcBorders>
              <w:top w:val="nil"/>
              <w:left w:val="nil"/>
              <w:bottom w:val="nil"/>
              <w:right w:val="nil"/>
            </w:tcBorders>
          </w:tcPr>
          <w:p w:rsidR="00746BEA" w:rsidRDefault="00746BEA">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alibri" w:hAnsi="Calibri" w:cs="Calibri"/>
                <w:sz w:val="22"/>
                <w:szCs w:val="22"/>
              </w:rPr>
            </w:pPr>
            <w:r>
              <w:rPr>
                <w:rFonts w:ascii="Calibri" w:hAnsi="Calibri" w:cs="Calibri"/>
                <w:sz w:val="22"/>
                <w:szCs w:val="22"/>
              </w:rPr>
              <w:t>il cronoprogramma ai sensi dell'art. 40 del DPR 207/2010;</w:t>
            </w:r>
          </w:p>
        </w:tc>
      </w:tr>
      <w:tr w:rsidR="00746BEA">
        <w:trPr>
          <w:gridBefore w:val="1"/>
          <w:wBefore w:w="362" w:type="dxa"/>
        </w:trPr>
        <w:tc>
          <w:tcPr>
            <w:tcW w:w="351"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0"/>
                <w:szCs w:val="20"/>
              </w:rPr>
            </w:pPr>
            <w:r>
              <w:rPr>
                <w:rFonts w:ascii="Calibri" w:hAnsi="Calibri" w:cs="Calibri"/>
                <w:sz w:val="22"/>
                <w:szCs w:val="22"/>
              </w:rPr>
              <w:t>d.</w:t>
            </w:r>
          </w:p>
        </w:tc>
        <w:tc>
          <w:tcPr>
            <w:tcW w:w="9193" w:type="dxa"/>
            <w:tcBorders>
              <w:top w:val="nil"/>
              <w:left w:val="nil"/>
              <w:bottom w:val="nil"/>
              <w:right w:val="nil"/>
            </w:tcBorders>
          </w:tcPr>
          <w:p w:rsidR="00746BEA" w:rsidRDefault="00746BEA">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alibri" w:hAnsi="Calibri" w:cs="Calibri"/>
                <w:sz w:val="22"/>
                <w:szCs w:val="22"/>
              </w:rPr>
            </w:pPr>
            <w:r>
              <w:rPr>
                <w:rFonts w:ascii="Calibri" w:hAnsi="Calibri" w:cs="Calibri"/>
                <w:sz w:val="22"/>
                <w:szCs w:val="22"/>
              </w:rPr>
              <w:t xml:space="preserve">il Piano di Sicurezza e coordinamento ai sensi dell'art. 100 e secondo i contenuti minimi di cui all'Allegato XV del </w:t>
            </w:r>
            <w:proofErr w:type="spellStart"/>
            <w:r>
              <w:rPr>
                <w:rFonts w:ascii="Calibri" w:hAnsi="Calibri" w:cs="Calibri"/>
                <w:sz w:val="22"/>
                <w:szCs w:val="22"/>
              </w:rPr>
              <w:t>D.Lgs.</w:t>
            </w:r>
            <w:proofErr w:type="spellEnd"/>
            <w:r>
              <w:rPr>
                <w:rFonts w:ascii="Calibri" w:hAnsi="Calibri" w:cs="Calibri"/>
                <w:sz w:val="22"/>
                <w:szCs w:val="22"/>
              </w:rPr>
              <w:t xml:space="preserve"> 81/08 quando previsto;</w:t>
            </w:r>
          </w:p>
        </w:tc>
      </w:tr>
      <w:tr w:rsidR="00746BEA">
        <w:trPr>
          <w:gridBefore w:val="1"/>
          <w:wBefore w:w="362" w:type="dxa"/>
        </w:trPr>
        <w:tc>
          <w:tcPr>
            <w:tcW w:w="351"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0"/>
                <w:szCs w:val="20"/>
              </w:rPr>
            </w:pPr>
            <w:r>
              <w:rPr>
                <w:rFonts w:ascii="Calibri" w:hAnsi="Calibri" w:cs="Calibri"/>
                <w:sz w:val="22"/>
                <w:szCs w:val="22"/>
              </w:rPr>
              <w:t>e.</w:t>
            </w:r>
          </w:p>
        </w:tc>
        <w:tc>
          <w:tcPr>
            <w:tcW w:w="9193" w:type="dxa"/>
            <w:tcBorders>
              <w:top w:val="nil"/>
              <w:left w:val="nil"/>
              <w:bottom w:val="nil"/>
              <w:right w:val="nil"/>
            </w:tcBorders>
          </w:tcPr>
          <w:p w:rsidR="00746BEA" w:rsidRDefault="00746BEA" w:rsidP="004D360E">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alibri" w:hAnsi="Calibri" w:cs="Calibri"/>
                <w:sz w:val="22"/>
                <w:szCs w:val="22"/>
              </w:rPr>
            </w:pPr>
            <w:r>
              <w:rPr>
                <w:rFonts w:ascii="Calibri" w:hAnsi="Calibri" w:cs="Calibri"/>
                <w:sz w:val="22"/>
                <w:szCs w:val="22"/>
              </w:rPr>
              <w:t>le polizze di garanzia di cui al precedente</w:t>
            </w:r>
            <w:r w:rsidR="004D360E">
              <w:rPr>
                <w:rFonts w:ascii="Calibri" w:hAnsi="Calibri" w:cs="Calibri"/>
                <w:sz w:val="22"/>
                <w:szCs w:val="22"/>
              </w:rPr>
              <w:t xml:space="preserve"> </w:t>
            </w:r>
            <w:r w:rsidRPr="004D360E">
              <w:rPr>
                <w:rFonts w:ascii="Calibri" w:hAnsi="Calibri" w:cs="Calibri"/>
                <w:color w:val="FF0000"/>
                <w:sz w:val="22"/>
                <w:szCs w:val="22"/>
              </w:rPr>
              <w:t>Art. 18</w:t>
            </w:r>
            <w:r>
              <w:rPr>
                <w:rFonts w:ascii="Calibri" w:hAnsi="Calibri" w:cs="Calibri"/>
                <w:sz w:val="22"/>
                <w:szCs w:val="22"/>
              </w:rPr>
              <w:t>;</w:t>
            </w:r>
          </w:p>
        </w:tc>
      </w:tr>
      <w:tr w:rsidR="00746BEA">
        <w:trPr>
          <w:gridBefore w:val="1"/>
          <w:wBefore w:w="362" w:type="dxa"/>
        </w:trPr>
        <w:tc>
          <w:tcPr>
            <w:tcW w:w="351" w:type="dxa"/>
            <w:tcBorders>
              <w:top w:val="nil"/>
              <w:left w:val="nil"/>
              <w:bottom w:val="nil"/>
              <w:right w:val="nil"/>
            </w:tcBorders>
            <w:tcMar>
              <w:right w:w="85" w:type="dxa"/>
            </w:tcMar>
          </w:tcPr>
          <w:p w:rsidR="00746BEA" w:rsidRDefault="00746BEA">
            <w:pPr>
              <w:pStyle w:val="Normal"/>
              <w:widowContro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0"/>
                <w:szCs w:val="20"/>
              </w:rPr>
            </w:pPr>
            <w:r>
              <w:rPr>
                <w:rFonts w:ascii="Calibri" w:hAnsi="Calibri" w:cs="Calibri"/>
                <w:sz w:val="22"/>
                <w:szCs w:val="22"/>
              </w:rPr>
              <w:t>f.</w:t>
            </w:r>
          </w:p>
        </w:tc>
        <w:tc>
          <w:tcPr>
            <w:tcW w:w="9193" w:type="dxa"/>
            <w:tcBorders>
              <w:top w:val="nil"/>
              <w:left w:val="nil"/>
              <w:bottom w:val="nil"/>
              <w:right w:val="nil"/>
            </w:tcBorders>
          </w:tcPr>
          <w:p w:rsidR="00746BEA" w:rsidRDefault="00746BEA">
            <w:pPr>
              <w:tabs>
                <w:tab w:val="left" w:pos="567"/>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alibri" w:hAnsi="Calibri" w:cs="Calibri"/>
                <w:sz w:val="22"/>
                <w:szCs w:val="22"/>
              </w:rPr>
            </w:pPr>
            <w:r>
              <w:rPr>
                <w:rFonts w:ascii="Calibri" w:hAnsi="Calibri" w:cs="Calibri"/>
                <w:sz w:val="22"/>
                <w:szCs w:val="22"/>
                <w:lang w:val="x-none" w:eastAsia="x-none"/>
              </w:rPr>
              <w:t xml:space="preserve">il </w:t>
            </w:r>
            <w:r>
              <w:rPr>
                <w:rFonts w:ascii="Calibri" w:hAnsi="Calibri" w:cs="Calibri"/>
                <w:sz w:val="22"/>
                <w:szCs w:val="22"/>
              </w:rPr>
              <w:t>capitolato generale, approvato con D.M. n. 145 del 2000, per quanto non previsto nel Capitolato Speciale d'appalto.</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20 - Tracciabilità  dei flussi finanziari</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L'appaltatore è tenuto ad assolvere a tutti gli obblighi previsti dall'articolo 3 della Legge 136/2010 al fine di assicurare la tracciabilità dei movimenti finanziari relativi all'appalto in oggetto, pena la risoluzione del contratto stesso.</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2.</w:t>
            </w:r>
          </w:p>
        </w:tc>
        <w:tc>
          <w:tcPr>
            <w:tcW w:w="9540" w:type="dxa"/>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Ai fini di cui al comma 1, l'appaltatore si impegna a accendere e/o utilizzare apposito conto corrente bancario e/o postale dedicato e comunica gli estremi identificativi di tale conto nonché le generalità e il codice fiscale delle persone delegate ad operare su di esso.</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3.</w:t>
            </w:r>
          </w:p>
        </w:tc>
        <w:tc>
          <w:tcPr>
            <w:tcW w:w="9540" w:type="dxa"/>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La Stazione appaltante verifica in occasione di ogni pagamento all'appaltatore e con controlli ulteriori l'assolvimento, da parte dello stesso, degli obblighi inerenti la tracciabilità dei flussi finanziari.</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21 - Adempimenti in materia antimafia</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color w:val="000000"/>
                <w:sz w:val="22"/>
                <w:szCs w:val="22"/>
              </w:rPr>
            </w:pPr>
            <w:r>
              <w:rPr>
                <w:rFonts w:ascii="Calibri" w:hAnsi="Calibri" w:cs="Calibri"/>
                <w:color w:val="000000"/>
                <w:sz w:val="22"/>
                <w:szCs w:val="22"/>
              </w:rPr>
              <w:t>1.</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 xml:space="preserve">Si prende atto che in relazione all'appaltatore non risultano sussistere gli impedimenti all'assunzione del presente rapporto contrattuale ai sensi degli articoli 6 e 67 del D. </w:t>
            </w:r>
            <w:proofErr w:type="spellStart"/>
            <w:r>
              <w:rPr>
                <w:rFonts w:ascii="Calibri" w:hAnsi="Calibri" w:cs="Calibri"/>
                <w:color w:val="000000"/>
                <w:sz w:val="22"/>
                <w:szCs w:val="22"/>
              </w:rPr>
              <w:t>Lgs</w:t>
            </w:r>
            <w:proofErr w:type="spellEnd"/>
            <w:r>
              <w:rPr>
                <w:rFonts w:ascii="Calibri" w:hAnsi="Calibri" w:cs="Calibri"/>
                <w:color w:val="000000"/>
                <w:sz w:val="22"/>
                <w:szCs w:val="22"/>
              </w:rPr>
              <w:t>. 159/2011.</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color w:val="000000"/>
                <w:sz w:val="22"/>
                <w:szCs w:val="22"/>
              </w:rPr>
            </w:pPr>
            <w:r>
              <w:rPr>
                <w:rFonts w:ascii="Calibri" w:hAnsi="Calibri" w:cs="Calibri"/>
                <w:color w:val="000000"/>
                <w:sz w:val="22"/>
                <w:szCs w:val="22"/>
              </w:rPr>
              <w:t>2.</w:t>
            </w:r>
          </w:p>
        </w:tc>
        <w:tc>
          <w:tcPr>
            <w:tcW w:w="9540" w:type="dxa"/>
            <w:tcBorders>
              <w:top w:val="nil"/>
              <w:left w:val="nil"/>
              <w:bottom w:val="nil"/>
              <w:right w:val="nil"/>
            </w:tcBorders>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both"/>
              <w:rPr>
                <w:rFonts w:ascii="Calibri" w:hAnsi="Calibri" w:cs="Calibri"/>
                <w:color w:val="000000"/>
                <w:sz w:val="22"/>
                <w:szCs w:val="22"/>
              </w:rPr>
            </w:pPr>
            <w:r>
              <w:rPr>
                <w:rFonts w:ascii="Calibri" w:hAnsi="Calibri" w:cs="Calibri"/>
                <w:color w:val="000000"/>
                <w:sz w:val="22"/>
                <w:szCs w:val="22"/>
              </w:rPr>
              <w:t xml:space="preserve">Nel rispetto del </w:t>
            </w:r>
            <w:proofErr w:type="spellStart"/>
            <w:r>
              <w:rPr>
                <w:rFonts w:ascii="Calibri" w:hAnsi="Calibri" w:cs="Calibri"/>
                <w:color w:val="000000"/>
                <w:sz w:val="22"/>
                <w:szCs w:val="22"/>
              </w:rPr>
              <w:t>D.Lgs.</w:t>
            </w:r>
            <w:proofErr w:type="spellEnd"/>
            <w:r>
              <w:rPr>
                <w:rFonts w:ascii="Calibri" w:hAnsi="Calibri" w:cs="Calibri"/>
                <w:color w:val="000000"/>
                <w:sz w:val="22"/>
                <w:szCs w:val="22"/>
              </w:rPr>
              <w:t xml:space="preserve"> 159/2011, la stazione appaltante ha effettuato gli accertamenti in materia antimafia secondo le modalità previste dal Capitolato speciale d'appalto.</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22 - Normative di riferimento</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 xml:space="preserve">Per quanto non previsto o non richiamato dal presente contratto si fa riferimento alle norme contenute nel Codice dei contratti </w:t>
            </w:r>
            <w:proofErr w:type="spellStart"/>
            <w:r>
              <w:rPr>
                <w:rFonts w:ascii="Calibri" w:hAnsi="Calibri" w:cs="Calibri"/>
                <w:sz w:val="22"/>
                <w:szCs w:val="22"/>
              </w:rPr>
              <w:t>D.Lgs.</w:t>
            </w:r>
            <w:proofErr w:type="spellEnd"/>
            <w:r>
              <w:rPr>
                <w:rFonts w:ascii="Calibri" w:hAnsi="Calibri" w:cs="Calibri"/>
                <w:sz w:val="22"/>
                <w:szCs w:val="22"/>
              </w:rPr>
              <w:t xml:space="preserve"> 50/2016.</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lastRenderedPageBreak/>
              <w:t>2.</w:t>
            </w:r>
          </w:p>
        </w:tc>
        <w:tc>
          <w:tcPr>
            <w:tcW w:w="9540" w:type="dxa"/>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 xml:space="preserve">L'appaltatore dichiara di non essere sottoposto alle sanzioni di interdizione della capacità a contrattare con la pubblica amministrazione, né all'interruzione dell'attività, anche temporanea, ai sensi degli articoli 14 e 16 del </w:t>
            </w:r>
            <w:proofErr w:type="spellStart"/>
            <w:r>
              <w:rPr>
                <w:rFonts w:ascii="Calibri" w:hAnsi="Calibri" w:cs="Calibri"/>
                <w:sz w:val="22"/>
                <w:szCs w:val="22"/>
              </w:rPr>
              <w:t>D.Lgs.</w:t>
            </w:r>
            <w:proofErr w:type="spellEnd"/>
            <w:r>
              <w:rPr>
                <w:rFonts w:ascii="Calibri" w:hAnsi="Calibri" w:cs="Calibri"/>
                <w:sz w:val="22"/>
                <w:szCs w:val="22"/>
              </w:rPr>
              <w:t xml:space="preserve"> 231/2001 e di non essere nelle condizioni di divieto a contrattare di cui all'articolo 53, comma 16-ter, del D.Lgs.165/2001.</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3.</w:t>
            </w:r>
          </w:p>
        </w:tc>
        <w:tc>
          <w:tcPr>
            <w:tcW w:w="9540" w:type="dxa"/>
            <w:tcBorders>
              <w:top w:val="nil"/>
              <w:left w:val="nil"/>
              <w:bottom w:val="nil"/>
              <w:right w:val="nil"/>
            </w:tcBorders>
          </w:tcPr>
          <w:p w:rsidR="00746BEA" w:rsidRDefault="00746BEA">
            <w:pPr>
              <w:tabs>
                <w:tab w:val="left" w:pos="284"/>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Calibri" w:hAnsi="Calibri" w:cs="Calibri"/>
                <w:sz w:val="22"/>
                <w:szCs w:val="22"/>
              </w:rPr>
            </w:pPr>
            <w:r>
              <w:rPr>
                <w:rFonts w:ascii="Calibri" w:hAnsi="Calibri" w:cs="Calibri"/>
                <w:sz w:val="22"/>
                <w:szCs w:val="22"/>
              </w:rPr>
              <w:t xml:space="preserve">In caso di sopravvenuta inefficacia del contratto in seguito ad annullamento giurisdizionale dell'aggiudicazione definitiva, trovano applicazione gli articoli da 121 a 124 dell'allegato 1 al </w:t>
            </w:r>
            <w:proofErr w:type="spellStart"/>
            <w:r>
              <w:rPr>
                <w:rFonts w:ascii="Calibri" w:hAnsi="Calibri" w:cs="Calibri"/>
                <w:sz w:val="22"/>
                <w:szCs w:val="22"/>
              </w:rPr>
              <w:t>D.Lgs.</w:t>
            </w:r>
            <w:proofErr w:type="spellEnd"/>
            <w:r>
              <w:rPr>
                <w:rFonts w:ascii="Calibri" w:hAnsi="Calibri" w:cs="Calibri"/>
                <w:sz w:val="22"/>
                <w:szCs w:val="22"/>
              </w:rPr>
              <w:t xml:space="preserve"> 104/2010.</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23 - Spese contrattuali e trattamento fiscale</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Sono a carico dell'appaltatore tutte le spese del contratto e dei relativi oneri connessi alla sua stipulazione e registrazione, compresi quelli tributari, nonché tutte le spese di bollo per gli atti occorrenti per la gestione del lavoro.</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right"/>
              <w:rPr>
                <w:rFonts w:ascii="Calibri" w:hAnsi="Calibri" w:cs="Calibri"/>
                <w:sz w:val="22"/>
                <w:szCs w:val="22"/>
              </w:rPr>
            </w:pPr>
            <w:r>
              <w:rPr>
                <w:rFonts w:ascii="Calibri" w:hAnsi="Calibri" w:cs="Calibri"/>
                <w:sz w:val="22"/>
                <w:szCs w:val="22"/>
              </w:rPr>
              <w:t>2.</w:t>
            </w:r>
          </w:p>
        </w:tc>
        <w:tc>
          <w:tcPr>
            <w:tcW w:w="9540" w:type="dxa"/>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I lavori oggetto del presente contratto sono soggetti a I.V.A. che  è a carico della Stazione appaltante.</w:t>
            </w:r>
          </w:p>
        </w:tc>
      </w:tr>
      <w:tr w:rsidR="00746BEA">
        <w:tc>
          <w:tcPr>
            <w:tcW w:w="366" w:type="dxa"/>
            <w:tcBorders>
              <w:top w:val="nil"/>
              <w:left w:val="nil"/>
              <w:bottom w:val="nil"/>
              <w:right w:val="nil"/>
            </w:tcBorders>
            <w:tcMar>
              <w:right w:w="85" w:type="dxa"/>
            </w:tcMar>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57"/>
              <w:jc w:val="right"/>
              <w:rPr>
                <w:rFonts w:ascii="Calibri" w:hAnsi="Calibri" w:cs="Calibri"/>
                <w:sz w:val="22"/>
                <w:szCs w:val="22"/>
              </w:rPr>
            </w:pPr>
            <w:r>
              <w:rPr>
                <w:rFonts w:ascii="Calibri" w:hAnsi="Calibri" w:cs="Calibri"/>
                <w:sz w:val="22"/>
                <w:szCs w:val="22"/>
              </w:rPr>
              <w:t>3.</w:t>
            </w:r>
          </w:p>
        </w:tc>
        <w:tc>
          <w:tcPr>
            <w:tcW w:w="9540" w:type="dxa"/>
            <w:tcBorders>
              <w:top w:val="nil"/>
              <w:left w:val="nil"/>
              <w:bottom w:val="nil"/>
              <w:right w:val="nil"/>
            </w:tcBorders>
          </w:tcPr>
          <w:p w:rsidR="00746BEA" w:rsidRDefault="00746BEA">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rPr>
              <w:t xml:space="preserve">Ai fini fiscali le parti richiedono la registrazione a tassa fissa ai sensi dell'articolo 40 del D.P.R. n.131/1986  e </w:t>
            </w:r>
            <w:proofErr w:type="spellStart"/>
            <w:r>
              <w:rPr>
                <w:rFonts w:ascii="Calibri" w:hAnsi="Calibri" w:cs="Calibri"/>
                <w:sz w:val="22"/>
                <w:szCs w:val="22"/>
              </w:rPr>
              <w:t>s.m.i.</w:t>
            </w:r>
            <w:proofErr w:type="spellEnd"/>
            <w:r>
              <w:rPr>
                <w:rFonts w:ascii="Calibri" w:hAnsi="Calibri" w:cs="Calibri"/>
                <w:sz w:val="22"/>
                <w:szCs w:val="22"/>
              </w:rPr>
              <w:t xml:space="preserve"> (Testo Unico delle disposizioni concernenti l'imposta di registro).</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Titolo1"/>
        <w:widowControl/>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rPr>
          <w:rFonts w:ascii="Trebuchet MS" w:hAnsi="Trebuchet MS" w:cs="Trebuchet MS"/>
          <w:color w:val="auto"/>
          <w:sz w:val="24"/>
          <w:szCs w:val="24"/>
          <w:lang w:val="x-none" w:eastAsia="x-none"/>
        </w:rPr>
      </w:pPr>
      <w:r>
        <w:rPr>
          <w:rFonts w:ascii="Trebuchet MS" w:hAnsi="Trebuchet MS" w:cs="Trebuchet MS"/>
          <w:color w:val="auto"/>
          <w:sz w:val="24"/>
          <w:szCs w:val="24"/>
          <w:lang w:val="x-none" w:eastAsia="x-none"/>
        </w:rPr>
        <w:t>Art. 24 - Trattamento dei dati personali</w:t>
      </w:r>
    </w:p>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tbl>
      <w:tblPr>
        <w:tblW w:w="0" w:type="auto"/>
        <w:tblLayout w:type="fixed"/>
        <w:tblCellMar>
          <w:left w:w="0" w:type="dxa"/>
          <w:right w:w="0" w:type="dxa"/>
        </w:tblCellMar>
        <w:tblLook w:val="0000" w:firstRow="0" w:lastRow="0" w:firstColumn="0" w:lastColumn="0" w:noHBand="0" w:noVBand="0"/>
      </w:tblPr>
      <w:tblGrid>
        <w:gridCol w:w="366"/>
        <w:gridCol w:w="9540"/>
      </w:tblGrid>
      <w:tr w:rsidR="00746BEA">
        <w:tc>
          <w:tcPr>
            <w:tcW w:w="366" w:type="dxa"/>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spacing w:line="360" w:lineRule="auto"/>
              <w:jc w:val="right"/>
              <w:rPr>
                <w:rFonts w:ascii="Calibri" w:hAnsi="Calibri" w:cs="Calibri"/>
                <w:sz w:val="22"/>
                <w:szCs w:val="22"/>
              </w:rPr>
            </w:pPr>
            <w:r>
              <w:rPr>
                <w:rFonts w:ascii="Calibri" w:hAnsi="Calibri" w:cs="Calibri"/>
                <w:sz w:val="22"/>
                <w:szCs w:val="22"/>
              </w:rPr>
              <w:t>1.</w:t>
            </w:r>
          </w:p>
        </w:tc>
        <w:tc>
          <w:tcPr>
            <w:tcW w:w="9540" w:type="dxa"/>
            <w:tcBorders>
              <w:top w:val="nil"/>
              <w:left w:val="nil"/>
              <w:bottom w:val="nil"/>
              <w:right w:val="nil"/>
            </w:tcBorders>
          </w:tcPr>
          <w:p w:rsidR="00746BEA" w:rsidRDefault="00746BEA">
            <w:pPr>
              <w:pStyle w:val="BODY"/>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both"/>
              <w:rPr>
                <w:rFonts w:ascii="Calibri" w:hAnsi="Calibri" w:cs="Calibri"/>
                <w:sz w:val="22"/>
                <w:szCs w:val="22"/>
              </w:rPr>
            </w:pPr>
            <w:r>
              <w:rPr>
                <w:rFonts w:ascii="Calibri" w:hAnsi="Calibri" w:cs="Calibri"/>
                <w:sz w:val="22"/>
                <w:szCs w:val="22"/>
                <w:lang w:val="x-none" w:eastAsia="x-none"/>
              </w:rPr>
              <w:t xml:space="preserve">L'appaltatore dà atto di aver preso visione dell'informativa di cui al </w:t>
            </w:r>
            <w:r>
              <w:rPr>
                <w:rFonts w:ascii="Calibri" w:hAnsi="Calibri" w:cs="Calibri"/>
                <w:color w:val="202124"/>
                <w:sz w:val="22"/>
                <w:szCs w:val="22"/>
                <w:shd w:val="clear" w:color="auto" w:fill="FFFFFF"/>
                <w:lang w:val="x-none" w:eastAsia="x-none"/>
              </w:rPr>
              <w:t>Regolamento UE n. 2016/679 “Codice in materia di protezione dei dati personali”</w:t>
            </w:r>
            <w:r>
              <w:rPr>
                <w:rFonts w:ascii="Calibri" w:hAnsi="Calibri" w:cs="Calibri"/>
                <w:sz w:val="22"/>
                <w:szCs w:val="22"/>
                <w:lang w:val="x-none" w:eastAsia="x-none"/>
              </w:rPr>
              <w:t xml:space="preserve"> e leggi nazionali </w:t>
            </w:r>
            <w:proofErr w:type="spellStart"/>
            <w:r>
              <w:rPr>
                <w:rFonts w:ascii="Calibri" w:hAnsi="Calibri" w:cs="Calibri"/>
                <w:sz w:val="22"/>
                <w:szCs w:val="22"/>
                <w:lang w:val="x-none" w:eastAsia="x-none"/>
              </w:rPr>
              <w:t>D.Lgs.</w:t>
            </w:r>
            <w:proofErr w:type="spellEnd"/>
            <w:r>
              <w:rPr>
                <w:rFonts w:ascii="Calibri" w:hAnsi="Calibri" w:cs="Calibri"/>
                <w:sz w:val="22"/>
                <w:szCs w:val="22"/>
                <w:lang w:val="x-none" w:eastAsia="x-none"/>
              </w:rPr>
              <w:t xml:space="preserve"> 196/2003 per l'utenza esterna, esposta per esteso presso l'ufficio relazioni con il pubblico e presso l'ufficio contratti.</w:t>
            </w:r>
          </w:p>
        </w:tc>
      </w:tr>
      <w:tr w:rsidR="00746BEA">
        <w:tc>
          <w:tcPr>
            <w:tcW w:w="366" w:type="dxa"/>
            <w:tcBorders>
              <w:top w:val="nil"/>
              <w:left w:val="nil"/>
              <w:bottom w:val="nil"/>
              <w:right w:val="nil"/>
            </w:tcBorders>
            <w:tcMar>
              <w:right w:w="85" w:type="dxa"/>
            </w:tcMar>
          </w:tcPr>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right"/>
              <w:rPr>
                <w:rFonts w:ascii="Calibri" w:hAnsi="Calibri" w:cs="Calibri"/>
                <w:sz w:val="22"/>
                <w:szCs w:val="22"/>
              </w:rPr>
            </w:pPr>
            <w:r>
              <w:rPr>
                <w:rFonts w:ascii="Calibri" w:hAnsi="Calibri" w:cs="Calibri"/>
                <w:sz w:val="22"/>
                <w:szCs w:val="22"/>
              </w:rPr>
              <w:t>2.</w:t>
            </w:r>
          </w:p>
        </w:tc>
        <w:tc>
          <w:tcPr>
            <w:tcW w:w="9540" w:type="dxa"/>
            <w:tcBorders>
              <w:top w:val="nil"/>
              <w:left w:val="nil"/>
              <w:bottom w:val="nil"/>
              <w:right w:val="nil"/>
            </w:tcBorders>
          </w:tcPr>
          <w:p w:rsidR="00746BEA" w:rsidRDefault="00746BEA">
            <w:pPr>
              <w:pStyle w:val="Normal"/>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jc w:val="both"/>
              <w:rPr>
                <w:rFonts w:ascii="Calibri" w:hAnsi="Calibri" w:cs="Calibri"/>
                <w:sz w:val="22"/>
                <w:szCs w:val="22"/>
              </w:rPr>
            </w:pPr>
            <w:r>
              <w:rPr>
                <w:rFonts w:ascii="Calibri" w:hAnsi="Calibri" w:cs="Calibri"/>
                <w:sz w:val="22"/>
                <w:szCs w:val="22"/>
                <w:lang w:val="x-none" w:eastAsia="x-none"/>
              </w:rPr>
              <w:t>La Stazione appaltante informa l'appaltatore che il titolare del trattamento è________________________  con sede  in   via __________________________ e che, relativamente agli adempimenti inerenti al contratto, il responsabile del trattamento è________________</w:t>
            </w:r>
          </w:p>
        </w:tc>
      </w:tr>
    </w:tbl>
    <w:p w:rsidR="00746BEA" w:rsidRDefault="00746BE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lang w:val="x-none" w:eastAsia="x-none"/>
        </w:rPr>
      </w:pPr>
    </w:p>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rebuchet MS" w:hAnsi="Trebuchet MS" w:cs="Trebuchet MS"/>
          <w:sz w:val="20"/>
          <w:szCs w:val="20"/>
          <w:lang w:val="x-none" w:eastAsia="x-none"/>
        </w:rPr>
      </w:pPr>
    </w:p>
    <w:sectPr w:rsidR="00746BEA">
      <w:headerReference w:type="default" r:id="rId7"/>
      <w:footerReference w:type="default" r:id="rId8"/>
      <w:pgSz w:w="11906" w:h="16838"/>
      <w:pgMar w:top="1140" w:right="845" w:bottom="1140" w:left="11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697B" w:rsidRDefault="0015697B">
      <w:r>
        <w:separator/>
      </w:r>
    </w:p>
  </w:endnote>
  <w:endnote w:type="continuationSeparator" w:id="0">
    <w:p w:rsidR="0015697B" w:rsidRDefault="001569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36" w:type="dxa"/>
      <w:tblLayout w:type="fixed"/>
      <w:tblCellMar>
        <w:left w:w="36" w:type="dxa"/>
        <w:right w:w="36" w:type="dxa"/>
      </w:tblCellMar>
      <w:tblLook w:val="0000" w:firstRow="0" w:lastRow="0" w:firstColumn="0" w:lastColumn="0" w:noHBand="0" w:noVBand="0"/>
    </w:tblPr>
    <w:tblGrid>
      <w:gridCol w:w="9945"/>
    </w:tblGrid>
    <w:tr w:rsidR="00746BEA">
      <w:tc>
        <w:tcPr>
          <w:tcW w:w="9945" w:type="dxa"/>
          <w:tcBorders>
            <w:top w:val="nil"/>
            <w:left w:val="nil"/>
            <w:bottom w:val="nil"/>
            <w:right w:val="nil"/>
          </w:tcBorders>
        </w:tcPr>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rPr>
              <w:rFonts w:ascii="Trebuchet MS" w:hAnsi="Trebuchet MS" w:cs="Trebuchet MS"/>
              <w:sz w:val="12"/>
              <w:szCs w:val="12"/>
              <w:lang w:val="x-none" w:eastAsia="x-none"/>
            </w:rPr>
          </w:pPr>
          <w:r>
            <w:rPr>
              <w:rFonts w:ascii="Calibri" w:hAnsi="Calibri" w:cs="Calibri"/>
              <w:sz w:val="18"/>
              <w:szCs w:val="18"/>
              <w:lang w:val="x-none" w:eastAsia="x-none"/>
            </w:rPr>
            <w:t xml:space="preserve">Pagina </w:t>
          </w:r>
          <w:r>
            <w:rPr>
              <w:rFonts w:ascii="Calibri" w:hAnsi="Calibri" w:cs="Calibri"/>
              <w:sz w:val="18"/>
              <w:szCs w:val="18"/>
              <w:lang w:val="x-none" w:eastAsia="x-none"/>
            </w:rPr>
            <w:fldChar w:fldCharType="begin"/>
          </w:r>
          <w:r>
            <w:rPr>
              <w:rFonts w:ascii="Calibri" w:hAnsi="Calibri" w:cs="Calibri"/>
              <w:sz w:val="18"/>
              <w:szCs w:val="18"/>
              <w:lang w:val="x-none" w:eastAsia="x-none"/>
            </w:rPr>
            <w:instrText xml:space="preserve"> PAGE \* Arabic </w:instrText>
          </w:r>
          <w:r>
            <w:rPr>
              <w:rFonts w:ascii="Calibri" w:hAnsi="Calibri" w:cs="Calibri"/>
              <w:sz w:val="18"/>
              <w:szCs w:val="18"/>
              <w:lang w:val="x-none" w:eastAsia="x-none"/>
            </w:rPr>
            <w:fldChar w:fldCharType="separate"/>
          </w:r>
          <w:r w:rsidR="001E4F13">
            <w:rPr>
              <w:rFonts w:ascii="Calibri" w:hAnsi="Calibri" w:cs="Calibri"/>
              <w:noProof/>
              <w:sz w:val="18"/>
              <w:szCs w:val="18"/>
              <w:lang w:val="x-none" w:eastAsia="x-none"/>
            </w:rPr>
            <w:t>6</w:t>
          </w:r>
          <w:r>
            <w:rPr>
              <w:rFonts w:ascii="Calibri" w:hAnsi="Calibri" w:cs="Calibri"/>
              <w:sz w:val="18"/>
              <w:szCs w:val="18"/>
              <w:lang w:val="x-none" w:eastAsia="x-none"/>
            </w:rPr>
            <w:fldChar w:fldCharType="end"/>
          </w:r>
          <w:r>
            <w:rPr>
              <w:rFonts w:ascii="Calibri" w:hAnsi="Calibri" w:cs="Calibri"/>
              <w:sz w:val="18"/>
              <w:szCs w:val="18"/>
              <w:lang w:val="x-none" w:eastAsia="x-none"/>
            </w:rPr>
            <w:t xml:space="preserve"> di </w:t>
          </w:r>
          <w:r>
            <w:rPr>
              <w:rFonts w:ascii="Calibri" w:hAnsi="Calibri" w:cs="Calibri"/>
              <w:sz w:val="18"/>
              <w:szCs w:val="18"/>
            </w:rPr>
            <w:fldChar w:fldCharType="begin"/>
          </w:r>
          <w:r>
            <w:rPr>
              <w:rFonts w:ascii="Calibri" w:hAnsi="Calibri" w:cs="Calibri"/>
              <w:sz w:val="18"/>
              <w:szCs w:val="18"/>
            </w:rPr>
            <w:instrText xml:space="preserve"> NUMPAGES \* Arabic </w:instrText>
          </w:r>
          <w:r>
            <w:rPr>
              <w:rFonts w:ascii="Calibri" w:hAnsi="Calibri" w:cs="Calibri"/>
              <w:sz w:val="18"/>
              <w:szCs w:val="18"/>
            </w:rPr>
            <w:fldChar w:fldCharType="separate"/>
          </w:r>
          <w:r w:rsidR="001E4F13">
            <w:rPr>
              <w:rFonts w:ascii="Calibri" w:hAnsi="Calibri" w:cs="Calibri"/>
              <w:noProof/>
              <w:sz w:val="18"/>
              <w:szCs w:val="18"/>
            </w:rPr>
            <w:t>12</w:t>
          </w:r>
          <w:r>
            <w:rPr>
              <w:rFonts w:ascii="Calibri" w:hAnsi="Calibri" w:cs="Calibri"/>
              <w:sz w:val="18"/>
              <w:szCs w:val="18"/>
            </w:rPr>
            <w:fldChar w:fldCharType="end"/>
          </w:r>
          <w:r>
            <w:rPr>
              <w:rFonts w:ascii="Trebuchet MS" w:hAnsi="Trebuchet MS" w:cs="Trebuchet MS"/>
              <w:sz w:val="12"/>
              <w:szCs w:val="12"/>
              <w:lang w:val="x-none" w:eastAsia="x-none"/>
            </w:rPr>
            <w:t xml:space="preserve"> </w:t>
          </w:r>
        </w:p>
      </w:tc>
    </w:tr>
  </w:tbl>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rPr>
        <w:rFonts w:ascii="Trebuchet MS" w:hAnsi="Trebuchet MS" w:cs="Trebuchet MS"/>
        <w:sz w:val="12"/>
        <w:szCs w:val="12"/>
        <w:lang w:val="x-none" w:eastAsia="x-none"/>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697B" w:rsidRDefault="0015697B">
      <w:r>
        <w:separator/>
      </w:r>
    </w:p>
  </w:footnote>
  <w:footnote w:type="continuationSeparator" w:id="0">
    <w:p w:rsidR="0015697B" w:rsidRDefault="001569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6BEA" w:rsidRDefault="00746BEA">
    <w:pPr>
      <w:pStyle w:val="Normal"/>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bordersDoNotSurroundHeader/>
  <w:bordersDoNotSurroundFooter/>
  <w:proofState w:spelling="clean"/>
  <w:defaultTabStop w:val="0"/>
  <w:hyphenationZone w:val="283"/>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noExtraLineSpacing/>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2E4"/>
    <w:rsid w:val="00145F06"/>
    <w:rsid w:val="0015697B"/>
    <w:rsid w:val="001C127B"/>
    <w:rsid w:val="001E4F13"/>
    <w:rsid w:val="00214CAA"/>
    <w:rsid w:val="00246B09"/>
    <w:rsid w:val="00285A7F"/>
    <w:rsid w:val="00432EAB"/>
    <w:rsid w:val="004D360E"/>
    <w:rsid w:val="00563029"/>
    <w:rsid w:val="005D23E2"/>
    <w:rsid w:val="005F05C9"/>
    <w:rsid w:val="0060498F"/>
    <w:rsid w:val="0061616B"/>
    <w:rsid w:val="00634486"/>
    <w:rsid w:val="00640B71"/>
    <w:rsid w:val="00704274"/>
    <w:rsid w:val="00710FA9"/>
    <w:rsid w:val="00746BEA"/>
    <w:rsid w:val="007C7C29"/>
    <w:rsid w:val="00825399"/>
    <w:rsid w:val="0085493B"/>
    <w:rsid w:val="008A6749"/>
    <w:rsid w:val="009D6069"/>
    <w:rsid w:val="00A377F0"/>
    <w:rsid w:val="00A535F8"/>
    <w:rsid w:val="00AF1767"/>
    <w:rsid w:val="00B16701"/>
    <w:rsid w:val="00B22DA8"/>
    <w:rsid w:val="00B322E4"/>
    <w:rsid w:val="00B3406B"/>
    <w:rsid w:val="00B36371"/>
    <w:rsid w:val="00C44A62"/>
    <w:rsid w:val="00C70910"/>
    <w:rsid w:val="00CC41B1"/>
    <w:rsid w:val="00CC61A4"/>
    <w:rsid w:val="00CD5442"/>
    <w:rsid w:val="00D35E1B"/>
    <w:rsid w:val="00DB0654"/>
    <w:rsid w:val="00E66603"/>
    <w:rsid w:val="00F24365"/>
    <w:rsid w:val="00FB08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2C692DC0-3520-4EB5-9C49-600CDA833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autoSpaceDE w:val="0"/>
      <w:autoSpaceDN w:val="0"/>
      <w:adjustRightInd w:val="0"/>
      <w:spacing w:after="0" w:line="240" w:lineRule="auto"/>
    </w:pPr>
    <w:rPr>
      <w:rFonts w:ascii="Trebuchet MS" w:hAnsi="Trebuchet MS" w:cs="Trebuchet MS"/>
      <w:sz w:val="20"/>
      <w:szCs w:val="20"/>
    </w:rPr>
  </w:style>
  <w:style w:type="paragraph" w:styleId="Titolo1">
    <w:name w:val="heading 1"/>
    <w:basedOn w:val="Normal"/>
    <w:next w:val="Normal"/>
    <w:link w:val="Titolo1Carattere"/>
    <w:uiPriority w:val="99"/>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0"/>
    </w:pPr>
    <w:rPr>
      <w:b/>
      <w:bCs/>
      <w:color w:val="FFFFFF"/>
      <w:sz w:val="22"/>
      <w:szCs w:val="22"/>
    </w:rPr>
  </w:style>
  <w:style w:type="paragraph" w:styleId="Titolo2">
    <w:name w:val="heading 2"/>
    <w:basedOn w:val="Normal"/>
    <w:next w:val="Normal"/>
    <w:link w:val="Titolo2Carattere"/>
    <w:uiPriority w:val="99"/>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1"/>
    </w:pPr>
    <w:rPr>
      <w:b/>
      <w:bCs/>
      <w:sz w:val="20"/>
      <w:szCs w:val="20"/>
    </w:rPr>
  </w:style>
  <w:style w:type="paragraph" w:styleId="Titolo3">
    <w:name w:val="heading 3"/>
    <w:basedOn w:val="Normal"/>
    <w:next w:val="Normal"/>
    <w:link w:val="Titolo3Carattere"/>
    <w:uiPriority w:val="99"/>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2"/>
    </w:pPr>
    <w:rPr>
      <w:b/>
      <w:bCs/>
      <w:sz w:val="20"/>
      <w:szCs w:val="20"/>
    </w:rPr>
  </w:style>
  <w:style w:type="paragraph" w:styleId="Titolo4">
    <w:name w:val="heading 4"/>
    <w:basedOn w:val="Normal"/>
    <w:next w:val="Normal"/>
    <w:link w:val="Titolo4Carattere"/>
    <w:uiPriority w:val="99"/>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jc w:val="center"/>
      <w:outlineLvl w:val="3"/>
    </w:pPr>
    <w:rPr>
      <w:b/>
      <w:bCs/>
      <w:color w:val="008000"/>
      <w:sz w:val="20"/>
      <w:szCs w:val="20"/>
    </w:rPr>
  </w:style>
  <w:style w:type="paragraph" w:styleId="Titolo5">
    <w:name w:val="heading 5"/>
    <w:basedOn w:val="Titolo4"/>
    <w:next w:val="Normal"/>
    <w:link w:val="Titolo5Carattere"/>
    <w:uiPriority w:val="99"/>
    <w:qFormat/>
    <w:pPr>
      <w:outlineLvl w:val="4"/>
    </w:pPr>
  </w:style>
  <w:style w:type="paragraph" w:styleId="Titolo6">
    <w:name w:val="heading 6"/>
    <w:basedOn w:val="Normale"/>
    <w:next w:val="Normale"/>
    <w:link w:val="Titolo6Carattere"/>
    <w:uiPriority w:val="99"/>
    <w:qFormat/>
    <w:pPr>
      <w:jc w:val="both"/>
      <w:outlineLvl w:val="5"/>
    </w:pPr>
    <w:rPr>
      <w:b/>
      <w:bCs/>
    </w:rPr>
  </w:style>
  <w:style w:type="character" w:default="1" w:styleId="Carpredefinitoparagrafo">
    <w:name w:val="Default Paragraph Font"/>
    <w:uiPriority w:val="99"/>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locked/>
    <w:rPr>
      <w:rFonts w:asciiTheme="majorHAnsi" w:eastAsiaTheme="majorEastAsia" w:hAnsiTheme="majorHAnsi" w:cs="Times New Roman"/>
      <w:b/>
      <w:bCs/>
      <w:kern w:val="32"/>
      <w:sz w:val="32"/>
      <w:szCs w:val="32"/>
      <w:lang w:val="x-none" w:eastAsia="x-none"/>
    </w:rPr>
  </w:style>
  <w:style w:type="character" w:customStyle="1" w:styleId="Titolo2Carattere">
    <w:name w:val="Titolo 2 Carattere"/>
    <w:basedOn w:val="Carpredefinitoparagrafo"/>
    <w:link w:val="Titolo2"/>
    <w:uiPriority w:val="9"/>
    <w:semiHidden/>
    <w:locked/>
    <w:rPr>
      <w:rFonts w:asciiTheme="majorHAnsi" w:eastAsiaTheme="majorEastAsia" w:hAnsiTheme="majorHAnsi" w:cs="Times New Roman"/>
      <w:b/>
      <w:bCs/>
      <w:i/>
      <w:iCs/>
      <w:sz w:val="28"/>
      <w:szCs w:val="28"/>
      <w:lang w:val="x-none" w:eastAsia="x-none"/>
    </w:rPr>
  </w:style>
  <w:style w:type="character" w:customStyle="1" w:styleId="Titolo3Carattere">
    <w:name w:val="Titolo 3 Carattere"/>
    <w:basedOn w:val="Carpredefinitoparagrafo"/>
    <w:link w:val="Titolo3"/>
    <w:uiPriority w:val="9"/>
    <w:semiHidden/>
    <w:locked/>
    <w:rPr>
      <w:rFonts w:asciiTheme="majorHAnsi" w:eastAsiaTheme="majorEastAsia" w:hAnsiTheme="majorHAnsi" w:cs="Times New Roman"/>
      <w:b/>
      <w:bCs/>
      <w:sz w:val="26"/>
      <w:szCs w:val="26"/>
      <w:lang w:val="x-none" w:eastAsia="x-none"/>
    </w:rPr>
  </w:style>
  <w:style w:type="character" w:customStyle="1" w:styleId="Titolo4Carattere">
    <w:name w:val="Titolo 4 Carattere"/>
    <w:basedOn w:val="Carpredefinitoparagrafo"/>
    <w:link w:val="Titolo4"/>
    <w:uiPriority w:val="9"/>
    <w:semiHidden/>
    <w:locked/>
    <w:rPr>
      <w:rFonts w:cs="Times New Roman"/>
      <w:b/>
      <w:bCs/>
      <w:sz w:val="28"/>
      <w:szCs w:val="28"/>
      <w:lang w:val="x-none" w:eastAsia="x-none"/>
    </w:rPr>
  </w:style>
  <w:style w:type="character" w:customStyle="1" w:styleId="Titolo5Carattere">
    <w:name w:val="Titolo 5 Carattere"/>
    <w:basedOn w:val="Carpredefinitoparagrafo"/>
    <w:link w:val="Titolo5"/>
    <w:uiPriority w:val="9"/>
    <w:semiHidden/>
    <w:locked/>
    <w:rPr>
      <w:rFonts w:cs="Times New Roman"/>
      <w:b/>
      <w:bCs/>
      <w:i/>
      <w:iCs/>
      <w:sz w:val="26"/>
      <w:szCs w:val="26"/>
      <w:lang w:val="x-none" w:eastAsia="x-none"/>
    </w:rPr>
  </w:style>
  <w:style w:type="character" w:customStyle="1" w:styleId="Titolo6Carattere">
    <w:name w:val="Titolo 6 Carattere"/>
    <w:basedOn w:val="Carpredefinitoparagrafo"/>
    <w:link w:val="Titolo6"/>
    <w:uiPriority w:val="9"/>
    <w:semiHidden/>
    <w:locked/>
    <w:rPr>
      <w:rFonts w:cs="Times New Roman"/>
      <w:b/>
      <w:bCs/>
      <w:lang w:val="x-none" w:eastAsia="x-none"/>
    </w:rPr>
  </w:style>
  <w:style w:type="paragraph" w:customStyle="1" w:styleId="Normal">
    <w:name w:val="[Normal]"/>
    <w:uiPriority w:val="99"/>
    <w:pPr>
      <w:widowControl w:val="0"/>
      <w:autoSpaceDE w:val="0"/>
      <w:autoSpaceDN w:val="0"/>
      <w:adjustRightInd w:val="0"/>
      <w:spacing w:after="0" w:line="240" w:lineRule="auto"/>
    </w:pPr>
    <w:rPr>
      <w:rFonts w:ascii="Arial" w:hAnsi="Arial" w:cs="Arial"/>
      <w:sz w:val="24"/>
      <w:szCs w:val="24"/>
    </w:rPr>
  </w:style>
  <w:style w:type="paragraph" w:customStyle="1" w:styleId="Default">
    <w:name w:val="Default"/>
    <w:basedOn w:val="Normal"/>
    <w:uiPriority w:val="99"/>
    <w:rPr>
      <w:rFonts w:ascii="Times New Roman" w:hAnsi="Times New Roman" w:cs="Times New Roman"/>
      <w:color w:val="000000"/>
    </w:rPr>
  </w:style>
  <w:style w:type="paragraph" w:customStyle="1" w:styleId="BODY">
    <w:name w:val="BODY"/>
    <w:basedOn w:val="Normal"/>
    <w:uiPriority w:val="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105</TotalTime>
  <Pages>12</Pages>
  <Words>5253</Words>
  <Characters>31988</Characters>
  <Application>Microsoft Office Word</Application>
  <DocSecurity>0</DocSecurity>
  <Lines>266</Lines>
  <Paragraphs>74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37167</CharactersWithSpaces>
  <SharedDoc>false</SharedDoc>
  <HyperlinkBase>C:\Users\g.botta\Desktop\ARCHIVI DI BASE\Templates\</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Antonella</dc:creator>
  <cp:keywords/>
  <dc:description/>
  <cp:lastModifiedBy>Riggio</cp:lastModifiedBy>
  <cp:revision>15</cp:revision>
  <dcterms:created xsi:type="dcterms:W3CDTF">2022-11-22T10:28:00Z</dcterms:created>
  <dcterms:modified xsi:type="dcterms:W3CDTF">2022-11-22T12:38:00Z</dcterms:modified>
</cp:coreProperties>
</file>